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BFA6ECF" w14:textId="77777777" w:rsidR="003151C5" w:rsidRPr="00CD73D2" w:rsidRDefault="003151C5" w:rsidP="00BC6F8F">
      <w:pPr>
        <w:jc w:val="both"/>
      </w:pPr>
    </w:p>
    <w:p w14:paraId="3A0973AF" w14:textId="02696E5D" w:rsidR="00A91960" w:rsidRDefault="00A91960" w:rsidP="00A91960">
      <w:pPr>
        <w:pStyle w:val="Caption"/>
        <w:keepNext/>
      </w:pPr>
      <w:r>
        <w:t xml:space="preserve">Table </w:t>
      </w:r>
      <w:r w:rsidR="00B11B5D">
        <w:fldChar w:fldCharType="begin"/>
      </w:r>
      <w:r w:rsidR="00B11B5D">
        <w:instrText xml:space="preserve"> SEQ Table \* ARABIC </w:instrText>
      </w:r>
      <w:r w:rsidR="00B11B5D">
        <w:fldChar w:fldCharType="separate"/>
      </w:r>
      <w:r>
        <w:rPr>
          <w:noProof/>
        </w:rPr>
        <w:t>1</w:t>
      </w:r>
      <w:r w:rsidR="00B11B5D">
        <w:rPr>
          <w:noProof/>
        </w:rPr>
        <w:fldChar w:fldCharType="end"/>
      </w:r>
      <w:r>
        <w:t xml:space="preserve"> 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16"/>
        <w:gridCol w:w="4581"/>
        <w:gridCol w:w="4451"/>
      </w:tblGrid>
      <w:tr w:rsidR="00EB28CB" w:rsidRPr="00065E93" w14:paraId="66FF3AAE" w14:textId="77777777" w:rsidTr="00A91960">
        <w:trPr>
          <w:trHeight w:val="1953"/>
        </w:trPr>
        <w:tc>
          <w:tcPr>
            <w:tcW w:w="2416" w:type="dxa"/>
            <w:shd w:val="clear" w:color="auto" w:fill="auto"/>
          </w:tcPr>
          <w:p w14:paraId="2179A815" w14:textId="77777777" w:rsidR="003151C5" w:rsidRPr="003151C5" w:rsidRDefault="00EB28CB" w:rsidP="003151C5">
            <w:pPr>
              <w:ind w:right="-112"/>
              <w:jc w:val="center"/>
            </w:pPr>
            <w:r>
              <w:rPr>
                <w:noProof/>
              </w:rPr>
              <w:drawing>
                <wp:inline distT="0" distB="0" distL="0" distR="0" wp14:anchorId="3095D479" wp14:editId="12CB94F3">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581" w:type="dxa"/>
            <w:shd w:val="clear" w:color="auto" w:fill="auto"/>
            <w:vAlign w:val="center"/>
          </w:tcPr>
          <w:p w14:paraId="40330554" w14:textId="1ADB5409" w:rsidR="003151C5" w:rsidRPr="006F6044" w:rsidRDefault="009044D2" w:rsidP="009044D2">
            <w:pPr>
              <w:jc w:val="center"/>
              <w:rPr>
                <w:rFonts w:asciiTheme="minorHAnsi" w:hAnsiTheme="minorHAnsi"/>
                <w:i/>
              </w:rPr>
            </w:pPr>
            <w:r>
              <w:rPr>
                <w:rFonts w:asciiTheme="minorHAnsi" w:hAnsiTheme="minorHAnsi"/>
                <w:b/>
                <w:i/>
                <w:sz w:val="32"/>
              </w:rPr>
              <w:t>Allowance for Doubtful Accounts for Delinquent Student Accounts Policy</w:t>
            </w:r>
          </w:p>
        </w:tc>
        <w:tc>
          <w:tcPr>
            <w:tcW w:w="4451"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7AB8B765" w14:textId="77777777" w:rsidTr="008D6895">
              <w:trPr>
                <w:trHeight w:val="260"/>
              </w:trPr>
              <w:tc>
                <w:tcPr>
                  <w:tcW w:w="2211" w:type="dxa"/>
                  <w:shd w:val="clear" w:color="auto" w:fill="auto"/>
                  <w:tcMar>
                    <w:left w:w="86" w:type="dxa"/>
                    <w:right w:w="29" w:type="dxa"/>
                  </w:tcMar>
                  <w:vAlign w:val="bottom"/>
                </w:tcPr>
                <w:p w14:paraId="00603B24"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shd w:val="clear" w:color="auto" w:fill="auto"/>
                  <w:vAlign w:val="bottom"/>
                </w:tcPr>
                <w:p w14:paraId="06C97C78" w14:textId="2ABA399E" w:rsidR="000D5D19" w:rsidRPr="00517994" w:rsidRDefault="005C5490" w:rsidP="000D5D19">
                  <w:pPr>
                    <w:rPr>
                      <w:rFonts w:asciiTheme="minorHAnsi" w:hAnsiTheme="minorHAnsi"/>
                      <w:bCs/>
                      <w:sz w:val="20"/>
                      <w:szCs w:val="20"/>
                    </w:rPr>
                  </w:pPr>
                  <w:r>
                    <w:rPr>
                      <w:rFonts w:asciiTheme="minorHAnsi" w:hAnsiTheme="minorHAnsi"/>
                      <w:bCs/>
                      <w:sz w:val="20"/>
                      <w:szCs w:val="20"/>
                    </w:rPr>
                    <w:t>CO007.1</w:t>
                  </w:r>
                </w:p>
              </w:tc>
            </w:tr>
            <w:tr w:rsidR="000D5D19" w:rsidRPr="00517994" w14:paraId="1B3202B5" w14:textId="77777777" w:rsidTr="008D6895">
              <w:trPr>
                <w:trHeight w:val="240"/>
              </w:trPr>
              <w:tc>
                <w:tcPr>
                  <w:tcW w:w="2211" w:type="dxa"/>
                  <w:shd w:val="clear" w:color="auto" w:fill="auto"/>
                  <w:tcMar>
                    <w:left w:w="86" w:type="dxa"/>
                    <w:right w:w="29" w:type="dxa"/>
                  </w:tcMar>
                  <w:vAlign w:val="bottom"/>
                </w:tcPr>
                <w:p w14:paraId="1B60A7ED" w14:textId="77777777"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Policy Type:</w:t>
                  </w:r>
                </w:p>
              </w:tc>
              <w:tc>
                <w:tcPr>
                  <w:tcW w:w="2014" w:type="dxa"/>
                  <w:shd w:val="clear" w:color="auto" w:fill="auto"/>
                  <w:vAlign w:val="bottom"/>
                </w:tcPr>
                <w:p w14:paraId="6616FE98" w14:textId="16F6656F" w:rsidR="000D5D19" w:rsidRPr="00517994" w:rsidRDefault="002C28A7" w:rsidP="000D5D19">
                  <w:pPr>
                    <w:rPr>
                      <w:rFonts w:asciiTheme="minorHAnsi" w:hAnsiTheme="minorHAnsi"/>
                      <w:bCs/>
                      <w:sz w:val="20"/>
                      <w:szCs w:val="20"/>
                    </w:rPr>
                  </w:pPr>
                  <w:r>
                    <w:rPr>
                      <w:rFonts w:asciiTheme="minorHAnsi" w:hAnsiTheme="minorHAnsi"/>
                      <w:bCs/>
                      <w:sz w:val="20"/>
                      <w:szCs w:val="20"/>
                    </w:rPr>
                    <w:t>University</w:t>
                  </w:r>
                </w:p>
              </w:tc>
            </w:tr>
            <w:tr w:rsidR="000D5D19" w:rsidRPr="00517994" w14:paraId="410711B7" w14:textId="77777777" w:rsidTr="008D6895">
              <w:trPr>
                <w:trHeight w:val="230"/>
              </w:trPr>
              <w:tc>
                <w:tcPr>
                  <w:tcW w:w="2211" w:type="dxa"/>
                  <w:tcBorders>
                    <w:top w:val="nil"/>
                    <w:bottom w:val="nil"/>
                  </w:tcBorders>
                  <w:shd w:val="clear" w:color="auto" w:fill="auto"/>
                  <w:tcMar>
                    <w:left w:w="86" w:type="dxa"/>
                    <w:right w:w="29" w:type="dxa"/>
                  </w:tcMar>
                </w:tcPr>
                <w:p w14:paraId="689EAC66" w14:textId="22E2D49B" w:rsidR="000D5D19" w:rsidRPr="00517994" w:rsidRDefault="000D5D19" w:rsidP="000D5D19">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2A48AC4F" w14:textId="15F8C902" w:rsidR="000D5D19" w:rsidRPr="00517994" w:rsidRDefault="00FF559B" w:rsidP="000D5D19">
                  <w:pPr>
                    <w:widowControl w:val="0"/>
                    <w:rPr>
                      <w:rFonts w:asciiTheme="minorHAnsi" w:hAnsiTheme="minorHAnsi"/>
                      <w:bCs/>
                      <w:sz w:val="20"/>
                      <w:szCs w:val="20"/>
                    </w:rPr>
                  </w:pPr>
                  <w:r>
                    <w:rPr>
                      <w:rFonts w:asciiTheme="minorHAnsi" w:hAnsiTheme="minorHAnsi"/>
                      <w:bCs/>
                      <w:sz w:val="20"/>
                      <w:szCs w:val="20"/>
                    </w:rPr>
                    <w:t>VP Business Affairs</w:t>
                  </w:r>
                </w:p>
              </w:tc>
            </w:tr>
            <w:tr w:rsidR="000D5D19" w:rsidRPr="00517994" w14:paraId="4722C1B4" w14:textId="77777777" w:rsidTr="008D6895">
              <w:trPr>
                <w:trHeight w:val="260"/>
              </w:trPr>
              <w:tc>
                <w:tcPr>
                  <w:tcW w:w="2211" w:type="dxa"/>
                  <w:tcBorders>
                    <w:top w:val="nil"/>
                    <w:bottom w:val="nil"/>
                  </w:tcBorders>
                  <w:shd w:val="clear" w:color="auto" w:fill="auto"/>
                  <w:tcMar>
                    <w:left w:w="86" w:type="dxa"/>
                    <w:right w:w="29" w:type="dxa"/>
                  </w:tcMar>
                  <w:vAlign w:val="bottom"/>
                </w:tcPr>
                <w:p w14:paraId="473F6A1A" w14:textId="6E059938" w:rsidR="000D5D19" w:rsidRPr="00517994" w:rsidRDefault="000D5D19" w:rsidP="000D5D19">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66D6525E" w14:textId="68A68CE7" w:rsidR="000D5D19" w:rsidRPr="00517994" w:rsidRDefault="00FF559B" w:rsidP="000D5D19">
                  <w:pPr>
                    <w:rPr>
                      <w:rFonts w:asciiTheme="minorHAnsi" w:hAnsiTheme="minorHAnsi"/>
                      <w:bCs/>
                      <w:sz w:val="20"/>
                      <w:szCs w:val="20"/>
                    </w:rPr>
                  </w:pPr>
                  <w:r>
                    <w:rPr>
                      <w:rFonts w:asciiTheme="minorHAnsi" w:hAnsiTheme="minorHAnsi"/>
                      <w:bCs/>
                      <w:sz w:val="20"/>
                      <w:szCs w:val="20"/>
                    </w:rPr>
                    <w:t>Controller’s Office</w:t>
                  </w:r>
                </w:p>
              </w:tc>
            </w:tr>
            <w:tr w:rsidR="000D5D19" w:rsidRPr="00517994" w14:paraId="5663CA6D" w14:textId="77777777" w:rsidTr="008D6895">
              <w:trPr>
                <w:trHeight w:val="260"/>
              </w:trPr>
              <w:tc>
                <w:tcPr>
                  <w:tcW w:w="2211" w:type="dxa"/>
                  <w:tcBorders>
                    <w:top w:val="nil"/>
                  </w:tcBorders>
                  <w:shd w:val="clear" w:color="auto" w:fill="auto"/>
                  <w:tcMar>
                    <w:left w:w="86" w:type="dxa"/>
                    <w:right w:w="29" w:type="dxa"/>
                  </w:tcMar>
                  <w:vAlign w:val="bottom"/>
                </w:tcPr>
                <w:p w14:paraId="1B6E0344" w14:textId="77777777" w:rsidR="000D5D19" w:rsidRPr="00517994" w:rsidRDefault="000D5D19" w:rsidP="000D5D19">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667FF841" w14:textId="62F01D35" w:rsidR="000D5D19" w:rsidRPr="00517994" w:rsidRDefault="009448F4" w:rsidP="000D5D19">
                  <w:pPr>
                    <w:rPr>
                      <w:rFonts w:asciiTheme="minorHAnsi" w:hAnsiTheme="minorHAnsi"/>
                      <w:bCs/>
                      <w:sz w:val="20"/>
                      <w:szCs w:val="20"/>
                    </w:rPr>
                  </w:pPr>
                  <w:r>
                    <w:rPr>
                      <w:rFonts w:asciiTheme="minorHAnsi" w:hAnsiTheme="minorHAnsi"/>
                      <w:bCs/>
                      <w:sz w:val="20"/>
                      <w:szCs w:val="20"/>
                    </w:rPr>
                    <w:t>October 11, 2024</w:t>
                  </w:r>
                </w:p>
              </w:tc>
            </w:tr>
            <w:tr w:rsidR="000D5D19" w:rsidRPr="00517994" w14:paraId="171F11DD" w14:textId="77777777" w:rsidTr="008D6895">
              <w:trPr>
                <w:trHeight w:val="260"/>
              </w:trPr>
              <w:tc>
                <w:tcPr>
                  <w:tcW w:w="2211" w:type="dxa"/>
                  <w:shd w:val="clear" w:color="auto" w:fill="auto"/>
                  <w:tcMar>
                    <w:left w:w="86" w:type="dxa"/>
                    <w:right w:w="29" w:type="dxa"/>
                  </w:tcMar>
                  <w:vAlign w:val="bottom"/>
                </w:tcPr>
                <w:p w14:paraId="4D599841" w14:textId="77777777" w:rsidR="000D5D19" w:rsidRPr="00517994" w:rsidRDefault="000D5D19" w:rsidP="000D5D19">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0132DB98" w14:textId="42E26000" w:rsidR="000D5D19" w:rsidRPr="00517994" w:rsidRDefault="009448F4" w:rsidP="000D5D19">
                  <w:pPr>
                    <w:tabs>
                      <w:tab w:val="left" w:pos="1867"/>
                    </w:tabs>
                    <w:ind w:right="-853"/>
                    <w:rPr>
                      <w:rFonts w:asciiTheme="minorHAnsi" w:hAnsiTheme="minorHAnsi"/>
                      <w:bCs/>
                      <w:sz w:val="20"/>
                      <w:szCs w:val="20"/>
                    </w:rPr>
                  </w:pPr>
                  <w:r>
                    <w:rPr>
                      <w:rFonts w:asciiTheme="minorHAnsi" w:hAnsiTheme="minorHAnsi"/>
                      <w:bCs/>
                      <w:sz w:val="20"/>
                      <w:szCs w:val="20"/>
                    </w:rPr>
                    <w:t>October 11, 2024</w:t>
                  </w:r>
                </w:p>
              </w:tc>
            </w:tr>
            <w:tr w:rsidR="000D5D19" w:rsidRPr="00517994" w14:paraId="4848DE54" w14:textId="77777777" w:rsidTr="008D6895">
              <w:trPr>
                <w:trHeight w:val="260"/>
              </w:trPr>
              <w:tc>
                <w:tcPr>
                  <w:tcW w:w="2211" w:type="dxa"/>
                  <w:shd w:val="clear" w:color="auto" w:fill="auto"/>
                  <w:tcMar>
                    <w:left w:w="86" w:type="dxa"/>
                    <w:right w:w="29" w:type="dxa"/>
                  </w:tcMar>
                  <w:vAlign w:val="bottom"/>
                </w:tcPr>
                <w:p w14:paraId="1DFD153E" w14:textId="77777777" w:rsidR="000D5D19" w:rsidRPr="00517994" w:rsidRDefault="000D5D19" w:rsidP="000D5D19">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1124B538" w14:textId="13FD985C" w:rsidR="000D5D19" w:rsidRPr="00517994" w:rsidRDefault="009448F4" w:rsidP="000D5D19">
                  <w:pPr>
                    <w:tabs>
                      <w:tab w:val="left" w:pos="1867"/>
                    </w:tabs>
                    <w:ind w:right="-853"/>
                    <w:rPr>
                      <w:rFonts w:asciiTheme="minorHAnsi" w:hAnsiTheme="minorHAnsi"/>
                      <w:bCs/>
                      <w:sz w:val="20"/>
                      <w:szCs w:val="20"/>
                    </w:rPr>
                  </w:pPr>
                  <w:r>
                    <w:rPr>
                      <w:rFonts w:asciiTheme="minorHAnsi" w:hAnsiTheme="minorHAnsi"/>
                      <w:bCs/>
                      <w:sz w:val="20"/>
                      <w:szCs w:val="20"/>
                    </w:rPr>
                    <w:t>October 11</w:t>
                  </w:r>
                  <w:r w:rsidR="005C5490">
                    <w:rPr>
                      <w:rFonts w:asciiTheme="minorHAnsi" w:hAnsiTheme="minorHAnsi"/>
                      <w:bCs/>
                      <w:sz w:val="20"/>
                      <w:szCs w:val="20"/>
                    </w:rPr>
                    <w:t>, 2024</w:t>
                  </w:r>
                </w:p>
              </w:tc>
            </w:tr>
          </w:tbl>
          <w:p w14:paraId="2E860875" w14:textId="77777777" w:rsidR="003151C5" w:rsidRPr="006F6044" w:rsidRDefault="003151C5" w:rsidP="003151C5">
            <w:pPr>
              <w:rPr>
                <w:rFonts w:asciiTheme="minorHAnsi" w:hAnsiTheme="minorHAnsi"/>
                <w:b/>
                <w:sz w:val="20"/>
              </w:rPr>
            </w:pPr>
          </w:p>
        </w:tc>
      </w:tr>
    </w:tbl>
    <w:p w14:paraId="687B1EAB" w14:textId="77777777" w:rsidR="001518A1" w:rsidRPr="00D70333" w:rsidRDefault="001518A1" w:rsidP="00DB4992">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I.</w:t>
      </w:r>
      <w:r w:rsidRPr="006F6044">
        <w:rPr>
          <w:rFonts w:asciiTheme="minorHAnsi" w:hAnsiTheme="minorHAnsi"/>
        </w:rPr>
        <w:tab/>
        <w:t>Policy Statement</w:t>
      </w:r>
      <w:r w:rsidR="00892246">
        <w:rPr>
          <w:rFonts w:asciiTheme="minorHAnsi" w:hAnsiTheme="minorHAnsi"/>
        </w:rPr>
        <w:tab/>
      </w:r>
    </w:p>
    <w:p w14:paraId="0078F4F2" w14:textId="242656B0" w:rsidR="005949FB" w:rsidRPr="005C5490" w:rsidRDefault="009044D2" w:rsidP="005C5490">
      <w:pPr>
        <w:spacing w:before="120" w:after="240"/>
        <w:rPr>
          <w:rFonts w:asciiTheme="minorHAnsi" w:hAnsiTheme="minorHAnsi" w:cstheme="minorHAnsi"/>
        </w:rPr>
      </w:pPr>
      <w:r w:rsidRPr="005C5490">
        <w:rPr>
          <w:rFonts w:asciiTheme="minorHAnsi" w:hAnsiTheme="minorHAnsi" w:cstheme="minorHAnsi"/>
        </w:rPr>
        <w:t>The University calculates an allowance for doubtful accounts provision each year to account for expected bad debts relating to delinquent student accounts.</w:t>
      </w:r>
      <w:r w:rsidR="003A527D" w:rsidRPr="005C5490">
        <w:rPr>
          <w:rFonts w:asciiTheme="minorHAnsi" w:hAnsiTheme="minorHAnsi" w:cstheme="minorHAnsi"/>
        </w:rPr>
        <w:t xml:space="preserve">  The University uses the allowance method to record the University’s estimated uncollectible receivables.  Annually, the Controller’s office analyzes student receivables that are in collections to determine which accounts are uncollectible.  </w:t>
      </w:r>
    </w:p>
    <w:p w14:paraId="3B59946C" w14:textId="77777777" w:rsidR="007D240C" w:rsidRPr="005C5490" w:rsidRDefault="007D240C"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1" w:name="_II._Purpose_of"/>
      <w:bookmarkEnd w:id="1"/>
      <w:r w:rsidRPr="005C5490">
        <w:rPr>
          <w:rFonts w:asciiTheme="minorHAnsi" w:hAnsiTheme="minorHAnsi" w:cstheme="minorHAnsi"/>
        </w:rPr>
        <w:t>II.</w:t>
      </w:r>
      <w:r w:rsidRPr="005C5490">
        <w:rPr>
          <w:rFonts w:asciiTheme="minorHAnsi" w:hAnsiTheme="minorHAnsi" w:cstheme="minorHAnsi"/>
        </w:rPr>
        <w:tab/>
        <w:t>Purpose of Policy</w:t>
      </w:r>
    </w:p>
    <w:p w14:paraId="769FC907" w14:textId="1086F074" w:rsidR="009C60B1" w:rsidRPr="005C5490" w:rsidRDefault="00CD6090" w:rsidP="005C5490">
      <w:pPr>
        <w:spacing w:before="120"/>
        <w:rPr>
          <w:rFonts w:asciiTheme="minorHAnsi" w:hAnsiTheme="minorHAnsi" w:cstheme="minorHAnsi"/>
        </w:rPr>
      </w:pPr>
      <w:r w:rsidRPr="005C5490">
        <w:rPr>
          <w:rFonts w:asciiTheme="minorHAnsi" w:hAnsiTheme="minorHAnsi" w:cstheme="minorHAnsi"/>
        </w:rPr>
        <w:t>ULM has developed procedures for calculating and recording allowance for doubtful accounts and bad debt expense each year.  The objectives of these procedures are detailed below:</w:t>
      </w:r>
    </w:p>
    <w:p w14:paraId="416CA714" w14:textId="7FF98D98" w:rsidR="00CD6090" w:rsidRPr="005C5490" w:rsidRDefault="00446DAD" w:rsidP="00CD6090">
      <w:pPr>
        <w:pStyle w:val="ListParagraph"/>
        <w:numPr>
          <w:ilvl w:val="0"/>
          <w:numId w:val="29"/>
        </w:numPr>
        <w:spacing w:before="160" w:after="240"/>
        <w:rPr>
          <w:rFonts w:asciiTheme="minorHAnsi" w:hAnsiTheme="minorHAnsi" w:cstheme="minorHAnsi"/>
          <w:sz w:val="24"/>
          <w:szCs w:val="24"/>
        </w:rPr>
      </w:pPr>
      <w:r w:rsidRPr="005C5490">
        <w:rPr>
          <w:rFonts w:asciiTheme="minorHAnsi" w:hAnsiTheme="minorHAnsi" w:cstheme="minorHAnsi"/>
          <w:sz w:val="24"/>
          <w:szCs w:val="24"/>
        </w:rPr>
        <w:t xml:space="preserve">Identify </w:t>
      </w:r>
      <w:r w:rsidR="00CD6090" w:rsidRPr="005C5490">
        <w:rPr>
          <w:rFonts w:asciiTheme="minorHAnsi" w:hAnsiTheme="minorHAnsi" w:cstheme="minorHAnsi"/>
          <w:sz w:val="24"/>
          <w:szCs w:val="24"/>
        </w:rPr>
        <w:t>which student accounts should be written off at the end of the fiscal year</w:t>
      </w:r>
      <w:r w:rsidR="00C05ABD" w:rsidRPr="005C5490">
        <w:rPr>
          <w:rFonts w:asciiTheme="minorHAnsi" w:hAnsiTheme="minorHAnsi" w:cstheme="minorHAnsi"/>
          <w:sz w:val="24"/>
          <w:szCs w:val="24"/>
        </w:rPr>
        <w:t xml:space="preserve"> as well as throughout the year</w:t>
      </w:r>
      <w:r w:rsidR="00CD6090" w:rsidRPr="005C5490">
        <w:rPr>
          <w:rFonts w:asciiTheme="minorHAnsi" w:hAnsiTheme="minorHAnsi" w:cstheme="minorHAnsi"/>
          <w:sz w:val="24"/>
          <w:szCs w:val="24"/>
        </w:rPr>
        <w:t>.</w:t>
      </w:r>
    </w:p>
    <w:p w14:paraId="7FC770B9" w14:textId="3C1CA444" w:rsidR="00CD6090" w:rsidRPr="005C5490" w:rsidRDefault="00446DAD" w:rsidP="00CD6090">
      <w:pPr>
        <w:pStyle w:val="ListParagraph"/>
        <w:numPr>
          <w:ilvl w:val="0"/>
          <w:numId w:val="29"/>
        </w:numPr>
        <w:spacing w:before="160" w:after="240"/>
        <w:rPr>
          <w:rFonts w:asciiTheme="minorHAnsi" w:hAnsiTheme="minorHAnsi" w:cstheme="minorHAnsi"/>
          <w:sz w:val="24"/>
          <w:szCs w:val="24"/>
        </w:rPr>
      </w:pPr>
      <w:r w:rsidRPr="005C5490">
        <w:rPr>
          <w:rFonts w:asciiTheme="minorHAnsi" w:hAnsiTheme="minorHAnsi" w:cstheme="minorHAnsi"/>
          <w:sz w:val="24"/>
          <w:szCs w:val="24"/>
        </w:rPr>
        <w:t>Determine the allowance percentage that should be used in calculating the balance for the allowance for doubtful accounts at the end of each fiscal year.</w:t>
      </w:r>
    </w:p>
    <w:p w14:paraId="6AEFF605" w14:textId="5466FB88" w:rsidR="005949FB" w:rsidRPr="005C5490" w:rsidRDefault="00446DAD" w:rsidP="003A7FD4">
      <w:pPr>
        <w:pStyle w:val="ListParagraph"/>
        <w:numPr>
          <w:ilvl w:val="0"/>
          <w:numId w:val="29"/>
        </w:numPr>
        <w:spacing w:before="160" w:after="240"/>
        <w:rPr>
          <w:rFonts w:asciiTheme="minorHAnsi" w:hAnsiTheme="minorHAnsi" w:cstheme="minorHAnsi"/>
          <w:sz w:val="24"/>
          <w:szCs w:val="24"/>
        </w:rPr>
      </w:pPr>
      <w:r w:rsidRPr="005C5490">
        <w:rPr>
          <w:rFonts w:asciiTheme="minorHAnsi" w:hAnsiTheme="minorHAnsi" w:cstheme="minorHAnsi"/>
          <w:sz w:val="24"/>
          <w:szCs w:val="24"/>
        </w:rPr>
        <w:t>Calculate bad debt expense at the end of each fiscal year.</w:t>
      </w:r>
    </w:p>
    <w:p w14:paraId="12BE0DFD" w14:textId="77777777" w:rsidR="009C60B1" w:rsidRPr="005C5490"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2" w:name="_III._Applicability"/>
      <w:bookmarkEnd w:id="2"/>
      <w:r w:rsidRPr="005C5490">
        <w:rPr>
          <w:rFonts w:asciiTheme="minorHAnsi" w:hAnsiTheme="minorHAnsi" w:cstheme="minorHAnsi"/>
        </w:rPr>
        <w:t>III.</w:t>
      </w:r>
      <w:r w:rsidRPr="005C5490">
        <w:rPr>
          <w:rFonts w:asciiTheme="minorHAnsi" w:hAnsiTheme="minorHAnsi" w:cstheme="minorHAnsi"/>
        </w:rPr>
        <w:tab/>
        <w:t>Applicability</w:t>
      </w:r>
    </w:p>
    <w:p w14:paraId="39252B12" w14:textId="68092B14" w:rsidR="005949FB" w:rsidRPr="005C5490" w:rsidRDefault="00C65739" w:rsidP="005C5490">
      <w:pPr>
        <w:spacing w:before="120" w:after="240"/>
        <w:contextualSpacing/>
        <w:rPr>
          <w:rFonts w:asciiTheme="minorHAnsi" w:hAnsiTheme="minorHAnsi" w:cstheme="minorHAnsi"/>
          <w:b/>
          <w:u w:val="single"/>
        </w:rPr>
      </w:pPr>
      <w:r w:rsidRPr="005C5490">
        <w:rPr>
          <w:rFonts w:asciiTheme="minorHAnsi" w:hAnsiTheme="minorHAnsi" w:cstheme="minorHAnsi"/>
        </w:rPr>
        <w:t xml:space="preserve">This policy applies to the </w:t>
      </w:r>
      <w:r w:rsidR="006E278A" w:rsidRPr="005C5490">
        <w:rPr>
          <w:rFonts w:asciiTheme="minorHAnsi" w:hAnsiTheme="minorHAnsi" w:cstheme="minorHAnsi"/>
        </w:rPr>
        <w:t xml:space="preserve">Vice President for Business Affairs and any </w:t>
      </w:r>
      <w:r w:rsidRPr="005C5490">
        <w:rPr>
          <w:rFonts w:asciiTheme="minorHAnsi" w:hAnsiTheme="minorHAnsi" w:cstheme="minorHAnsi"/>
        </w:rPr>
        <w:t xml:space="preserve">Controller’s </w:t>
      </w:r>
      <w:r w:rsidR="00446DAD" w:rsidRPr="005C5490">
        <w:rPr>
          <w:rFonts w:asciiTheme="minorHAnsi" w:hAnsiTheme="minorHAnsi" w:cstheme="minorHAnsi"/>
        </w:rPr>
        <w:t>O</w:t>
      </w:r>
      <w:r w:rsidRPr="005C5490">
        <w:rPr>
          <w:rFonts w:asciiTheme="minorHAnsi" w:hAnsiTheme="minorHAnsi" w:cstheme="minorHAnsi"/>
        </w:rPr>
        <w:t>ffice</w:t>
      </w:r>
      <w:r w:rsidR="006E278A" w:rsidRPr="005C5490">
        <w:rPr>
          <w:rFonts w:asciiTheme="minorHAnsi" w:hAnsiTheme="minorHAnsi" w:cstheme="minorHAnsi"/>
        </w:rPr>
        <w:t xml:space="preserve"> personnel responsible for </w:t>
      </w:r>
      <w:r w:rsidR="00446DAD" w:rsidRPr="005C5490">
        <w:rPr>
          <w:rFonts w:asciiTheme="minorHAnsi" w:hAnsiTheme="minorHAnsi" w:cstheme="minorHAnsi"/>
        </w:rPr>
        <w:t>identifying</w:t>
      </w:r>
      <w:r w:rsidR="006E278A" w:rsidRPr="005C5490">
        <w:rPr>
          <w:rFonts w:asciiTheme="minorHAnsi" w:hAnsiTheme="minorHAnsi" w:cstheme="minorHAnsi"/>
        </w:rPr>
        <w:t xml:space="preserve"> the student accounts that should be written off, calculating the allowance for doubtful accounts, and preparing the entries needed each fiscal year to record this activity.</w:t>
      </w:r>
      <w:r w:rsidRPr="005C5490">
        <w:rPr>
          <w:rFonts w:asciiTheme="minorHAnsi" w:hAnsiTheme="minorHAnsi" w:cstheme="minorHAnsi"/>
        </w:rPr>
        <w:t xml:space="preserve"> </w:t>
      </w:r>
    </w:p>
    <w:p w14:paraId="61F21832" w14:textId="77777777" w:rsidR="009C60B1" w:rsidRPr="005C5490"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3" w:name="_IV._Definitions"/>
      <w:bookmarkEnd w:id="3"/>
      <w:r w:rsidRPr="005C5490">
        <w:rPr>
          <w:rFonts w:asciiTheme="minorHAnsi" w:hAnsiTheme="minorHAnsi" w:cstheme="minorHAnsi"/>
        </w:rPr>
        <w:t>IV.</w:t>
      </w:r>
      <w:r w:rsidRPr="005C5490">
        <w:rPr>
          <w:rFonts w:asciiTheme="minorHAnsi" w:hAnsiTheme="minorHAnsi" w:cstheme="minorHAnsi"/>
        </w:rPr>
        <w:tab/>
        <w:t>Definitions</w:t>
      </w:r>
    </w:p>
    <w:p w14:paraId="1F971B05" w14:textId="3C5B68D8" w:rsidR="009C60B1" w:rsidRPr="005C5490" w:rsidRDefault="007C43D1" w:rsidP="005C5490">
      <w:pPr>
        <w:spacing w:before="120"/>
        <w:rPr>
          <w:rFonts w:asciiTheme="minorHAnsi" w:hAnsiTheme="minorHAnsi" w:cstheme="minorHAnsi"/>
        </w:rPr>
      </w:pPr>
      <w:r w:rsidRPr="005C5490">
        <w:rPr>
          <w:rFonts w:asciiTheme="minorHAnsi" w:hAnsiTheme="minorHAnsi" w:cstheme="minorHAnsi"/>
          <w:b/>
          <w:bCs/>
          <w:u w:val="single"/>
        </w:rPr>
        <w:t>Allowance for Doubtful Accounts:</w:t>
      </w:r>
      <w:r w:rsidR="003A527D" w:rsidRPr="005C5490">
        <w:rPr>
          <w:rFonts w:asciiTheme="minorHAnsi" w:hAnsiTheme="minorHAnsi" w:cstheme="minorHAnsi"/>
        </w:rPr>
        <w:t xml:space="preserve"> A balance sheet account that normally carries a credit balance. This account is also known as bad debt reserve.  It is considered a “contra asset” because it reduces the amount of an asset, in this case the collections receivable. This account is the estimate of </w:t>
      </w:r>
      <w:r w:rsidR="00A5020C" w:rsidRPr="005C5490">
        <w:rPr>
          <w:rFonts w:asciiTheme="minorHAnsi" w:hAnsiTheme="minorHAnsi" w:cstheme="minorHAnsi"/>
        </w:rPr>
        <w:t xml:space="preserve">student </w:t>
      </w:r>
      <w:r w:rsidR="003A527D" w:rsidRPr="005C5490">
        <w:rPr>
          <w:rFonts w:asciiTheme="minorHAnsi" w:hAnsiTheme="minorHAnsi" w:cstheme="minorHAnsi"/>
        </w:rPr>
        <w:t>accounts receivable that will not be paid by students</w:t>
      </w:r>
      <w:r w:rsidR="00A5020C" w:rsidRPr="005C5490">
        <w:rPr>
          <w:rFonts w:asciiTheme="minorHAnsi" w:hAnsiTheme="minorHAnsi" w:cstheme="minorHAnsi"/>
        </w:rPr>
        <w:t>.</w:t>
      </w:r>
    </w:p>
    <w:p w14:paraId="6DF6A54C" w14:textId="77777777" w:rsidR="005C5490" w:rsidRDefault="005C5490" w:rsidP="008548EA">
      <w:pPr>
        <w:rPr>
          <w:rFonts w:asciiTheme="minorHAnsi" w:hAnsiTheme="minorHAnsi" w:cstheme="minorHAnsi"/>
          <w:b/>
          <w:bCs/>
          <w:u w:val="single"/>
        </w:rPr>
      </w:pPr>
    </w:p>
    <w:p w14:paraId="3345BA71" w14:textId="68FA8614" w:rsidR="007C43D1" w:rsidRPr="005C5490" w:rsidRDefault="007C43D1" w:rsidP="005C5490">
      <w:pPr>
        <w:rPr>
          <w:rFonts w:asciiTheme="minorHAnsi" w:hAnsiTheme="minorHAnsi" w:cstheme="minorHAnsi"/>
        </w:rPr>
      </w:pPr>
      <w:r w:rsidRPr="005C5490">
        <w:rPr>
          <w:rFonts w:asciiTheme="minorHAnsi" w:hAnsiTheme="minorHAnsi" w:cstheme="minorHAnsi"/>
          <w:b/>
          <w:bCs/>
          <w:u w:val="single"/>
        </w:rPr>
        <w:t>Bad Debt Expense:</w:t>
      </w:r>
      <w:r w:rsidR="00835B4B" w:rsidRPr="005C5490">
        <w:rPr>
          <w:rFonts w:asciiTheme="minorHAnsi" w:hAnsiTheme="minorHAnsi" w:cstheme="minorHAnsi"/>
          <w:b/>
          <w:bCs/>
          <w:u w:val="single"/>
        </w:rPr>
        <w:t xml:space="preserve"> </w:t>
      </w:r>
      <w:r w:rsidR="00835B4B" w:rsidRPr="005C5490">
        <w:rPr>
          <w:rFonts w:asciiTheme="minorHAnsi" w:hAnsiTheme="minorHAnsi" w:cstheme="minorHAnsi"/>
        </w:rPr>
        <w:t>Expense that the University incurs when the allowance for doubtful accounts is increased.</w:t>
      </w:r>
    </w:p>
    <w:p w14:paraId="1942130E" w14:textId="77777777" w:rsidR="005C5490" w:rsidRDefault="005C5490" w:rsidP="005C5490">
      <w:pPr>
        <w:rPr>
          <w:rFonts w:asciiTheme="minorHAnsi" w:hAnsiTheme="minorHAnsi" w:cstheme="minorHAnsi"/>
          <w:b/>
          <w:bCs/>
          <w:u w:val="single"/>
        </w:rPr>
      </w:pPr>
    </w:p>
    <w:p w14:paraId="21E48967" w14:textId="3B35C7E3" w:rsidR="00A5020C" w:rsidRPr="005C5490" w:rsidRDefault="00A5020C" w:rsidP="005C5490">
      <w:pPr>
        <w:rPr>
          <w:rFonts w:asciiTheme="minorHAnsi" w:hAnsiTheme="minorHAnsi" w:cstheme="minorHAnsi"/>
        </w:rPr>
      </w:pPr>
      <w:r w:rsidRPr="005C5490">
        <w:rPr>
          <w:rFonts w:asciiTheme="minorHAnsi" w:hAnsiTheme="minorHAnsi" w:cstheme="minorHAnsi"/>
          <w:b/>
          <w:bCs/>
          <w:u w:val="single"/>
        </w:rPr>
        <w:t xml:space="preserve">Uncollectible: </w:t>
      </w:r>
      <w:r w:rsidR="00F854EA" w:rsidRPr="005C5490">
        <w:rPr>
          <w:rFonts w:asciiTheme="minorHAnsi" w:hAnsiTheme="minorHAnsi" w:cstheme="minorHAnsi"/>
        </w:rPr>
        <w:t xml:space="preserve">Accounts that are not expected to be collected.  The </w:t>
      </w:r>
      <w:r w:rsidR="00C05ABD" w:rsidRPr="005C5490">
        <w:rPr>
          <w:rFonts w:asciiTheme="minorHAnsi" w:hAnsiTheme="minorHAnsi" w:cstheme="minorHAnsi"/>
        </w:rPr>
        <w:t>U</w:t>
      </w:r>
      <w:r w:rsidR="00F854EA" w:rsidRPr="005C5490">
        <w:rPr>
          <w:rFonts w:asciiTheme="minorHAnsi" w:hAnsiTheme="minorHAnsi" w:cstheme="minorHAnsi"/>
        </w:rPr>
        <w:t>niversity deems accounts uncollectible when the account has been in collections for more than three years and no payment has been received on the account in the previous 90 days.</w:t>
      </w:r>
    </w:p>
    <w:p w14:paraId="616BAA8F" w14:textId="77777777" w:rsidR="005C5490" w:rsidRDefault="005C5490" w:rsidP="005C5490">
      <w:pPr>
        <w:rPr>
          <w:rFonts w:asciiTheme="minorHAnsi" w:hAnsiTheme="minorHAnsi" w:cstheme="minorHAnsi"/>
          <w:b/>
          <w:bCs/>
          <w:u w:val="single"/>
        </w:rPr>
      </w:pPr>
    </w:p>
    <w:p w14:paraId="1C93881B" w14:textId="2A3DB249" w:rsidR="007C43D1" w:rsidRDefault="007C43D1" w:rsidP="005C5490">
      <w:pPr>
        <w:spacing w:after="240"/>
        <w:rPr>
          <w:rFonts w:asciiTheme="minorHAnsi" w:hAnsiTheme="minorHAnsi" w:cstheme="minorHAnsi"/>
        </w:rPr>
      </w:pPr>
      <w:r w:rsidRPr="005C5490">
        <w:rPr>
          <w:rFonts w:asciiTheme="minorHAnsi" w:hAnsiTheme="minorHAnsi" w:cstheme="minorHAnsi"/>
          <w:b/>
          <w:bCs/>
          <w:u w:val="single"/>
        </w:rPr>
        <w:t>Wri</w:t>
      </w:r>
      <w:r w:rsidR="00F854EA" w:rsidRPr="005C5490">
        <w:rPr>
          <w:rFonts w:asciiTheme="minorHAnsi" w:hAnsiTheme="minorHAnsi" w:cstheme="minorHAnsi"/>
          <w:b/>
          <w:bCs/>
          <w:u w:val="single"/>
        </w:rPr>
        <w:t>te-Off/Written Off:</w:t>
      </w:r>
      <w:r w:rsidR="00F854EA" w:rsidRPr="005C5490">
        <w:rPr>
          <w:rFonts w:asciiTheme="minorHAnsi" w:hAnsiTheme="minorHAnsi" w:cstheme="minorHAnsi"/>
        </w:rPr>
        <w:t xml:space="preserve">  The process of removing an account from the university’s balance sheet by crediting the receivable and debiting the allowance for doubtful accounts.</w:t>
      </w:r>
    </w:p>
    <w:p w14:paraId="1BED5A70" w14:textId="77777777" w:rsidR="005C5490" w:rsidRPr="005C5490" w:rsidRDefault="005C5490" w:rsidP="005C5490">
      <w:pPr>
        <w:spacing w:after="240"/>
        <w:rPr>
          <w:rFonts w:asciiTheme="minorHAnsi" w:hAnsiTheme="minorHAnsi" w:cstheme="minorHAnsi"/>
        </w:rPr>
      </w:pPr>
    </w:p>
    <w:p w14:paraId="02F45507" w14:textId="77777777" w:rsidR="009C60B1" w:rsidRPr="005C5490"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4" w:name="_V._Policy_Procedure"/>
      <w:bookmarkEnd w:id="4"/>
      <w:r w:rsidRPr="005C5490">
        <w:rPr>
          <w:rFonts w:asciiTheme="minorHAnsi" w:hAnsiTheme="minorHAnsi" w:cstheme="minorHAnsi"/>
        </w:rPr>
        <w:lastRenderedPageBreak/>
        <w:t>V.</w:t>
      </w:r>
      <w:r w:rsidRPr="005C5490">
        <w:rPr>
          <w:rFonts w:asciiTheme="minorHAnsi" w:hAnsiTheme="minorHAnsi" w:cstheme="minorHAnsi"/>
        </w:rPr>
        <w:tab/>
        <w:t>Policy Procedure</w:t>
      </w:r>
    </w:p>
    <w:p w14:paraId="63C3C92F" w14:textId="48E8B5F1" w:rsidR="00446DAD" w:rsidRPr="005C5490" w:rsidRDefault="00446DAD" w:rsidP="005C5490">
      <w:pPr>
        <w:spacing w:before="120"/>
        <w:rPr>
          <w:rFonts w:asciiTheme="minorHAnsi" w:hAnsiTheme="minorHAnsi" w:cstheme="minorHAnsi"/>
        </w:rPr>
      </w:pPr>
      <w:r w:rsidRPr="005C5490">
        <w:rPr>
          <w:rFonts w:asciiTheme="minorHAnsi" w:hAnsiTheme="minorHAnsi" w:cstheme="minorHAnsi"/>
        </w:rPr>
        <w:t xml:space="preserve">ECSI (Educational Computer Systems, Inc.) accounts for the activity with ULM’s receivables that have been sent to collections.  Receivables for meals, dorms, parking fines, and tuition &amp; fees are all included in this accounting with separate coding used to identify each type of receivable. When each collections load is sent to ECSI, the receivable is removed from the student’s account in Banner and moved to a separate receivable in Banner which exclusively includes amounts in collections (account #101345).  Receivables for meals receivables are accounted for in the auxiliary fund; dorm receivables are recorded in the restricted fund; and parking fines and tuition &amp; fees receivables are accounted for in the general fund.  As amounts are written off or paid, the credit to </w:t>
      </w:r>
      <w:r w:rsidR="006D2E31" w:rsidRPr="005C5490">
        <w:rPr>
          <w:rFonts w:asciiTheme="minorHAnsi" w:hAnsiTheme="minorHAnsi" w:cstheme="minorHAnsi"/>
        </w:rPr>
        <w:t xml:space="preserve">be made to </w:t>
      </w:r>
      <w:r w:rsidRPr="005C5490">
        <w:rPr>
          <w:rFonts w:asciiTheme="minorHAnsi" w:hAnsiTheme="minorHAnsi" w:cstheme="minorHAnsi"/>
        </w:rPr>
        <w:t>the receivable is recorded in a contra-account (#101346).  ECSI sends an entry to ULM each month that is loaded into Banner.</w:t>
      </w:r>
      <w:r w:rsidR="00A5020C" w:rsidRPr="005C5490">
        <w:rPr>
          <w:rFonts w:asciiTheme="minorHAnsi" w:hAnsiTheme="minorHAnsi" w:cstheme="minorHAnsi"/>
        </w:rPr>
        <w:t xml:space="preserve"> Throughout the year, accounts </w:t>
      </w:r>
      <w:r w:rsidR="006D2E31" w:rsidRPr="005C5490">
        <w:rPr>
          <w:rFonts w:asciiTheme="minorHAnsi" w:hAnsiTheme="minorHAnsi" w:cstheme="minorHAnsi"/>
        </w:rPr>
        <w:t>that are discharged through bankruptcy, small balances less than $25, and balances owed by those who have deceased will be written off through the allowance for doubtful accounts by debiting the allowance and crediting the receivable.</w:t>
      </w:r>
    </w:p>
    <w:p w14:paraId="2D36CDE7" w14:textId="77777777" w:rsidR="00255C42" w:rsidRPr="005C5490" w:rsidRDefault="00255C42" w:rsidP="00446DAD">
      <w:pPr>
        <w:rPr>
          <w:rFonts w:asciiTheme="minorHAnsi" w:hAnsiTheme="minorHAnsi" w:cstheme="minorHAnsi"/>
        </w:rPr>
      </w:pPr>
    </w:p>
    <w:p w14:paraId="6FC29086" w14:textId="27842AF3" w:rsidR="00255C42" w:rsidRPr="005C5490" w:rsidRDefault="00255C42" w:rsidP="00446DAD">
      <w:pPr>
        <w:rPr>
          <w:rFonts w:asciiTheme="minorHAnsi" w:hAnsiTheme="minorHAnsi" w:cstheme="minorHAnsi"/>
        </w:rPr>
      </w:pPr>
      <w:r w:rsidRPr="005C5490">
        <w:rPr>
          <w:rFonts w:asciiTheme="minorHAnsi" w:hAnsiTheme="minorHAnsi" w:cstheme="minorHAnsi"/>
        </w:rPr>
        <w:t xml:space="preserve">Student accounts receivable can be removed from the </w:t>
      </w:r>
      <w:r w:rsidR="00C05ABD" w:rsidRPr="005C5490">
        <w:rPr>
          <w:rFonts w:asciiTheme="minorHAnsi" w:hAnsiTheme="minorHAnsi" w:cstheme="minorHAnsi"/>
        </w:rPr>
        <w:t>U</w:t>
      </w:r>
      <w:r w:rsidRPr="005C5490">
        <w:rPr>
          <w:rFonts w:asciiTheme="minorHAnsi" w:hAnsiTheme="minorHAnsi" w:cstheme="minorHAnsi"/>
        </w:rPr>
        <w:t>niversity’s balance sheet without being written off i</w:t>
      </w:r>
      <w:r w:rsidR="004E23A0" w:rsidRPr="005C5490">
        <w:rPr>
          <w:rFonts w:asciiTheme="minorHAnsi" w:hAnsiTheme="minorHAnsi" w:cstheme="minorHAnsi"/>
        </w:rPr>
        <w:t xml:space="preserve">f: 1) the student follows the appeals </w:t>
      </w:r>
      <w:r w:rsidR="0045310B" w:rsidRPr="005C5490">
        <w:rPr>
          <w:rFonts w:asciiTheme="minorHAnsi" w:hAnsiTheme="minorHAnsi" w:cstheme="minorHAnsi"/>
        </w:rPr>
        <w:t>process,</w:t>
      </w:r>
      <w:r w:rsidR="004E23A0" w:rsidRPr="005C5490">
        <w:rPr>
          <w:rFonts w:asciiTheme="minorHAnsi" w:hAnsiTheme="minorHAnsi" w:cstheme="minorHAnsi"/>
        </w:rPr>
        <w:t xml:space="preserve"> and it is determined that the University will not</w:t>
      </w:r>
      <w:r w:rsidR="0045310B" w:rsidRPr="005C5490">
        <w:rPr>
          <w:rFonts w:asciiTheme="minorHAnsi" w:hAnsiTheme="minorHAnsi" w:cstheme="minorHAnsi"/>
        </w:rPr>
        <w:t xml:space="preserve"> proceed with collecting </w:t>
      </w:r>
      <w:r w:rsidR="004E23A0" w:rsidRPr="005C5490">
        <w:rPr>
          <w:rFonts w:asciiTheme="minorHAnsi" w:hAnsiTheme="minorHAnsi" w:cstheme="minorHAnsi"/>
        </w:rPr>
        <w:t>the funds</w:t>
      </w:r>
      <w:r w:rsidR="00D6247D" w:rsidRPr="005C5490">
        <w:rPr>
          <w:rFonts w:asciiTheme="minorHAnsi" w:hAnsiTheme="minorHAnsi" w:cstheme="minorHAnsi"/>
        </w:rPr>
        <w:t>,</w:t>
      </w:r>
      <w:r w:rsidR="004E23A0" w:rsidRPr="005C5490">
        <w:rPr>
          <w:rFonts w:asciiTheme="minorHAnsi" w:hAnsiTheme="minorHAnsi" w:cstheme="minorHAnsi"/>
        </w:rPr>
        <w:t xml:space="preserve"> 2) the </w:t>
      </w:r>
      <w:r w:rsidR="00D6247D" w:rsidRPr="005C5490">
        <w:rPr>
          <w:rFonts w:asciiTheme="minorHAnsi" w:hAnsiTheme="minorHAnsi" w:cstheme="minorHAnsi"/>
        </w:rPr>
        <w:t>U</w:t>
      </w:r>
      <w:r w:rsidR="004E23A0" w:rsidRPr="005C5490">
        <w:rPr>
          <w:rFonts w:asciiTheme="minorHAnsi" w:hAnsiTheme="minorHAnsi" w:cstheme="minorHAnsi"/>
        </w:rPr>
        <w:t>niversity chooses to remove a charge</w:t>
      </w:r>
      <w:r w:rsidR="00D6247D" w:rsidRPr="005C5490">
        <w:rPr>
          <w:rFonts w:asciiTheme="minorHAnsi" w:hAnsiTheme="minorHAnsi" w:cstheme="minorHAnsi"/>
        </w:rPr>
        <w:t>, or 3) the University grants a waiver</w:t>
      </w:r>
      <w:r w:rsidR="004E23A0" w:rsidRPr="005C5490">
        <w:rPr>
          <w:rFonts w:asciiTheme="minorHAnsi" w:hAnsiTheme="minorHAnsi" w:cstheme="minorHAnsi"/>
        </w:rPr>
        <w:t>.</w:t>
      </w:r>
    </w:p>
    <w:p w14:paraId="7283AA2B" w14:textId="77777777" w:rsidR="00446DAD" w:rsidRPr="005C5490" w:rsidRDefault="00446DAD" w:rsidP="00446DAD">
      <w:pPr>
        <w:rPr>
          <w:rFonts w:asciiTheme="minorHAnsi" w:hAnsiTheme="minorHAnsi" w:cstheme="minorHAnsi"/>
        </w:rPr>
      </w:pPr>
    </w:p>
    <w:p w14:paraId="47F91692" w14:textId="3AC6FE0F" w:rsidR="00446DAD" w:rsidRPr="005C5490" w:rsidRDefault="00446DAD" w:rsidP="00446DAD">
      <w:pPr>
        <w:rPr>
          <w:rFonts w:asciiTheme="minorHAnsi" w:hAnsiTheme="minorHAnsi" w:cstheme="minorHAnsi"/>
          <w:u w:val="single"/>
        </w:rPr>
      </w:pPr>
      <w:r w:rsidRPr="005C5490">
        <w:rPr>
          <w:rFonts w:asciiTheme="minorHAnsi" w:hAnsiTheme="minorHAnsi" w:cstheme="minorHAnsi"/>
          <w:u w:val="single"/>
        </w:rPr>
        <w:t>Annual Procedures to determine the allowance for doubtful accounts and bad debt expense:</w:t>
      </w:r>
    </w:p>
    <w:p w14:paraId="6909F2C1" w14:textId="0C815656" w:rsidR="00446DAD" w:rsidRPr="005C5490" w:rsidRDefault="00446DAD" w:rsidP="008548EA">
      <w:pPr>
        <w:pStyle w:val="ListParagraph"/>
        <w:numPr>
          <w:ilvl w:val="0"/>
          <w:numId w:val="31"/>
        </w:numPr>
        <w:spacing w:before="120" w:after="0"/>
        <w:contextualSpacing w:val="0"/>
        <w:rPr>
          <w:rFonts w:asciiTheme="minorHAnsi" w:hAnsiTheme="minorHAnsi" w:cstheme="minorHAnsi"/>
          <w:sz w:val="24"/>
          <w:szCs w:val="24"/>
        </w:rPr>
      </w:pPr>
      <w:r w:rsidRPr="005C5490">
        <w:rPr>
          <w:rFonts w:asciiTheme="minorHAnsi" w:hAnsiTheme="minorHAnsi" w:cstheme="minorHAnsi"/>
          <w:sz w:val="24"/>
          <w:szCs w:val="24"/>
        </w:rPr>
        <w:t xml:space="preserve">In June of each fiscal year, the Student Accounts Collections Analyst pulls a report from ECSI that includes all outstanding balances </w:t>
      </w:r>
      <w:r w:rsidR="00695619" w:rsidRPr="005C5490">
        <w:rPr>
          <w:rFonts w:asciiTheme="minorHAnsi" w:hAnsiTheme="minorHAnsi" w:cstheme="minorHAnsi"/>
          <w:sz w:val="24"/>
          <w:szCs w:val="24"/>
        </w:rPr>
        <w:t xml:space="preserve">that are in collections and have not previously been written off.  </w:t>
      </w:r>
      <w:r w:rsidRPr="005C5490">
        <w:rPr>
          <w:rFonts w:asciiTheme="minorHAnsi" w:hAnsiTheme="minorHAnsi" w:cstheme="minorHAnsi"/>
          <w:sz w:val="24"/>
          <w:szCs w:val="24"/>
        </w:rPr>
        <w:t>The Controller compares this list to the net amount in Banner (account #101345 and #101346) to be sure the total of the report agrees to Banner.</w:t>
      </w:r>
    </w:p>
    <w:p w14:paraId="3F65587D" w14:textId="77777777" w:rsidR="00446DAD" w:rsidRPr="005C5490" w:rsidRDefault="00446DAD" w:rsidP="008548EA">
      <w:pPr>
        <w:pStyle w:val="ListParagraph"/>
        <w:spacing w:after="120"/>
        <w:rPr>
          <w:rFonts w:asciiTheme="minorHAnsi" w:hAnsiTheme="minorHAnsi" w:cstheme="minorHAnsi"/>
          <w:sz w:val="24"/>
          <w:szCs w:val="24"/>
        </w:rPr>
      </w:pPr>
    </w:p>
    <w:p w14:paraId="3DB2B86B" w14:textId="4A9A8E2A" w:rsidR="00446DAD" w:rsidRPr="005C5490" w:rsidRDefault="00446DAD" w:rsidP="008548EA">
      <w:pPr>
        <w:pStyle w:val="ListParagraph"/>
        <w:numPr>
          <w:ilvl w:val="0"/>
          <w:numId w:val="31"/>
        </w:numPr>
        <w:spacing w:after="0"/>
        <w:rPr>
          <w:rFonts w:asciiTheme="minorHAnsi" w:hAnsiTheme="minorHAnsi" w:cstheme="minorHAnsi"/>
          <w:sz w:val="24"/>
          <w:szCs w:val="24"/>
        </w:rPr>
      </w:pPr>
      <w:r w:rsidRPr="005C5490">
        <w:rPr>
          <w:rFonts w:asciiTheme="minorHAnsi" w:hAnsiTheme="minorHAnsi" w:cstheme="minorHAnsi"/>
          <w:sz w:val="24"/>
          <w:szCs w:val="24"/>
        </w:rPr>
        <w:t xml:space="preserve">The Student Accounts Analyst reviews the list of accounts from the report created in procedure #1 and </w:t>
      </w:r>
      <w:r w:rsidR="00695619" w:rsidRPr="005C5490">
        <w:rPr>
          <w:rFonts w:asciiTheme="minorHAnsi" w:hAnsiTheme="minorHAnsi" w:cstheme="minorHAnsi"/>
          <w:sz w:val="24"/>
          <w:szCs w:val="24"/>
        </w:rPr>
        <w:t xml:space="preserve">excludes any that are newer than three years.  The Student Accounts Analyst then </w:t>
      </w:r>
      <w:r w:rsidRPr="005C5490">
        <w:rPr>
          <w:rFonts w:asciiTheme="minorHAnsi" w:hAnsiTheme="minorHAnsi" w:cstheme="minorHAnsi"/>
          <w:sz w:val="24"/>
          <w:szCs w:val="24"/>
        </w:rPr>
        <w:t>removes any with a payment within the last ninety (90) days.  The remaining accounts are provided to the Controller as a recommended list of accounts to be written off.  Once the Controller has reviewed and approved the list, the Student Accounts Analyst updates each account’s collector code in ECSI to reflect the balance has been written off for accounting purposes but continues to attempt collection of the balance unless prohibited by bankruptcy filings.</w:t>
      </w:r>
    </w:p>
    <w:p w14:paraId="1A6C2E9B" w14:textId="77777777" w:rsidR="00446DAD" w:rsidRPr="005C5490" w:rsidRDefault="00446DAD" w:rsidP="008548EA">
      <w:pPr>
        <w:pStyle w:val="ListParagraph"/>
        <w:spacing w:after="0"/>
        <w:contextualSpacing w:val="0"/>
        <w:rPr>
          <w:rFonts w:asciiTheme="minorHAnsi" w:hAnsiTheme="minorHAnsi" w:cstheme="minorHAnsi"/>
          <w:sz w:val="24"/>
          <w:szCs w:val="24"/>
        </w:rPr>
      </w:pPr>
    </w:p>
    <w:p w14:paraId="0C59C6B4" w14:textId="30BD5F6D" w:rsidR="00446DAD" w:rsidRPr="005C5490" w:rsidRDefault="00446DAD" w:rsidP="008548EA">
      <w:pPr>
        <w:pStyle w:val="ListParagraph"/>
        <w:numPr>
          <w:ilvl w:val="0"/>
          <w:numId w:val="31"/>
        </w:numPr>
        <w:spacing w:after="0"/>
        <w:contextualSpacing w:val="0"/>
        <w:rPr>
          <w:rFonts w:asciiTheme="minorHAnsi" w:hAnsiTheme="minorHAnsi" w:cstheme="minorHAnsi"/>
          <w:sz w:val="24"/>
          <w:szCs w:val="24"/>
        </w:rPr>
      </w:pPr>
      <w:r w:rsidRPr="005C5490">
        <w:rPr>
          <w:rFonts w:asciiTheme="minorHAnsi" w:hAnsiTheme="minorHAnsi" w:cstheme="minorHAnsi"/>
          <w:sz w:val="24"/>
          <w:szCs w:val="24"/>
        </w:rPr>
        <w:t xml:space="preserve">The Controller uses the final list of accounts to be written off from the report created in procedure #2 and credits the contra account (#101346) and debits the allowance for doubtful accounts (#101399) in each respective fund (auxiliary, restricted, general) by the total of each receivable type (meals, dorms, parking fines, tuition &amp; fees). </w:t>
      </w:r>
    </w:p>
    <w:p w14:paraId="22822DC6" w14:textId="77777777" w:rsidR="00446DAD" w:rsidRPr="005C5490" w:rsidRDefault="00446DAD" w:rsidP="008548EA">
      <w:pPr>
        <w:pStyle w:val="ListParagraph"/>
        <w:spacing w:after="0"/>
        <w:rPr>
          <w:rFonts w:asciiTheme="minorHAnsi" w:hAnsiTheme="minorHAnsi" w:cstheme="minorHAnsi"/>
          <w:sz w:val="24"/>
          <w:szCs w:val="24"/>
        </w:rPr>
      </w:pPr>
    </w:p>
    <w:p w14:paraId="73D6B418" w14:textId="3460B6C8" w:rsidR="00961263" w:rsidRPr="008548EA" w:rsidRDefault="00446DAD" w:rsidP="008548EA">
      <w:pPr>
        <w:pStyle w:val="ListParagraph"/>
        <w:numPr>
          <w:ilvl w:val="0"/>
          <w:numId w:val="31"/>
        </w:numPr>
        <w:spacing w:after="0"/>
        <w:rPr>
          <w:rFonts w:asciiTheme="minorHAnsi" w:hAnsiTheme="minorHAnsi" w:cstheme="minorHAnsi"/>
          <w:sz w:val="24"/>
          <w:szCs w:val="24"/>
        </w:rPr>
      </w:pPr>
      <w:r w:rsidRPr="005C5490">
        <w:rPr>
          <w:rFonts w:asciiTheme="minorHAnsi" w:hAnsiTheme="minorHAnsi" w:cstheme="minorHAnsi"/>
          <w:sz w:val="24"/>
          <w:szCs w:val="24"/>
        </w:rPr>
        <w:t>Every three years, the amounts written off are analyzed by comparing the total written off to the total active accounts in Banner. A three-year average percentage of amounts written off compared to the total amount in collections is calculated.  This calculation is done separately for meals, dorms, parking fines, and tuition &amp; fees and these four percentages are used as the allowance percentages for the subsequent three years.  This allowance percentage is used to calculate the new amount that should be in the allowance for doubtful accounts at the end of the fiscal year.</w:t>
      </w:r>
    </w:p>
    <w:p w14:paraId="0EECB248" w14:textId="1C060BAB" w:rsidR="00446DAD" w:rsidRDefault="00446DAD" w:rsidP="008548EA">
      <w:pPr>
        <w:pStyle w:val="ListParagraph"/>
        <w:numPr>
          <w:ilvl w:val="0"/>
          <w:numId w:val="31"/>
        </w:numPr>
        <w:spacing w:after="0"/>
        <w:contextualSpacing w:val="0"/>
        <w:rPr>
          <w:rFonts w:asciiTheme="minorHAnsi" w:hAnsiTheme="minorHAnsi" w:cstheme="minorHAnsi"/>
          <w:sz w:val="24"/>
          <w:szCs w:val="24"/>
        </w:rPr>
      </w:pPr>
      <w:r w:rsidRPr="005C5490">
        <w:rPr>
          <w:rFonts w:asciiTheme="minorHAnsi" w:hAnsiTheme="minorHAnsi" w:cstheme="minorHAnsi"/>
          <w:sz w:val="24"/>
          <w:szCs w:val="24"/>
        </w:rPr>
        <w:lastRenderedPageBreak/>
        <w:t xml:space="preserve">The amounts in collections minus the amounts written off are then multiplied by the allowance percentage for each receivable type (meals, dorm, parking fines, and tuition &amp; fees). This calculation determines the amount that should be in the allowance for doubtful accounts for each receivable type.  The balance in the allowance for doubtful accounts in each fund (after the write-off described above) is compared to the amount that is calculated to determine by how much the allowance for doubtful accounts needs to be credited.  The allowance for doubtful accounts in each fund is then credited by these amounts and bad debt expense is debited. </w:t>
      </w:r>
    </w:p>
    <w:p w14:paraId="2EFA4F9A" w14:textId="4678A346" w:rsidR="008548EA" w:rsidRPr="008548EA" w:rsidRDefault="008548EA" w:rsidP="008548EA">
      <w:pPr>
        <w:rPr>
          <w:rFonts w:asciiTheme="minorHAnsi" w:hAnsiTheme="minorHAnsi" w:cstheme="minorHAnsi"/>
        </w:rPr>
      </w:pPr>
    </w:p>
    <w:p w14:paraId="191488C3" w14:textId="77777777" w:rsidR="009C60B1" w:rsidRPr="005C5490"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5" w:name="_VI._Enforcement"/>
      <w:bookmarkEnd w:id="5"/>
      <w:r w:rsidRPr="005C5490">
        <w:rPr>
          <w:rFonts w:asciiTheme="minorHAnsi" w:hAnsiTheme="minorHAnsi" w:cstheme="minorHAnsi"/>
        </w:rPr>
        <w:t>VI.</w:t>
      </w:r>
      <w:r w:rsidRPr="005C5490">
        <w:rPr>
          <w:rFonts w:asciiTheme="minorHAnsi" w:hAnsiTheme="minorHAnsi" w:cstheme="minorHAnsi"/>
        </w:rPr>
        <w:tab/>
        <w:t>Enforcement</w:t>
      </w:r>
    </w:p>
    <w:p w14:paraId="0674BB7C" w14:textId="476EC6E3" w:rsidR="00960199" w:rsidRPr="005C5490" w:rsidRDefault="00C65739" w:rsidP="005C5490">
      <w:pPr>
        <w:spacing w:before="120" w:after="240"/>
        <w:rPr>
          <w:rFonts w:asciiTheme="minorHAnsi" w:hAnsiTheme="minorHAnsi" w:cstheme="minorHAnsi"/>
        </w:rPr>
      </w:pPr>
      <w:r w:rsidRPr="005C5490">
        <w:rPr>
          <w:rFonts w:asciiTheme="minorHAnsi" w:hAnsiTheme="minorHAnsi" w:cstheme="minorHAnsi"/>
        </w:rPr>
        <w:t>The Vice President for Business Affairs is responsible for enforcement of the policy.</w:t>
      </w:r>
    </w:p>
    <w:p w14:paraId="4749466F" w14:textId="77777777" w:rsidR="009C60B1" w:rsidRPr="005C5490"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6" w:name="_VII._Policy_Management"/>
      <w:bookmarkEnd w:id="6"/>
      <w:r w:rsidRPr="005C5490">
        <w:rPr>
          <w:rFonts w:asciiTheme="minorHAnsi" w:hAnsiTheme="minorHAnsi" w:cstheme="minorHAnsi"/>
        </w:rPr>
        <w:t>VII.</w:t>
      </w:r>
      <w:r w:rsidRPr="005C5490">
        <w:rPr>
          <w:rFonts w:asciiTheme="minorHAnsi" w:hAnsiTheme="minorHAnsi" w:cstheme="minorHAnsi"/>
        </w:rPr>
        <w:tab/>
        <w:t>Policy Management</w:t>
      </w:r>
    </w:p>
    <w:p w14:paraId="20056354" w14:textId="58AF8CC5" w:rsidR="005949FB" w:rsidRPr="005C5490" w:rsidRDefault="00293744" w:rsidP="005C5490">
      <w:pPr>
        <w:spacing w:before="120" w:after="240"/>
        <w:rPr>
          <w:rFonts w:asciiTheme="minorHAnsi" w:hAnsiTheme="minorHAnsi" w:cstheme="minorHAnsi"/>
        </w:rPr>
      </w:pPr>
      <w:r w:rsidRPr="005C5490">
        <w:rPr>
          <w:rFonts w:asciiTheme="minorHAnsi" w:hAnsiTheme="minorHAnsi" w:cstheme="minorHAnsi"/>
        </w:rPr>
        <w:t>Upon adoption, the Vice President for Business Affairs shall be the Responsible Executive for the management of this policy.  The responsible officer is the Controller and the Office of the Controller is the office that is responsible for implementing and administering the policy.</w:t>
      </w:r>
    </w:p>
    <w:p w14:paraId="09C05992" w14:textId="77777777" w:rsidR="009C60B1" w:rsidRPr="005C5490"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7" w:name="_VIII._Exclusions"/>
      <w:bookmarkEnd w:id="7"/>
      <w:r w:rsidRPr="005C5490">
        <w:rPr>
          <w:rFonts w:asciiTheme="minorHAnsi" w:hAnsiTheme="minorHAnsi" w:cstheme="minorHAnsi"/>
        </w:rPr>
        <w:t>VIII.</w:t>
      </w:r>
      <w:r w:rsidRPr="005C5490">
        <w:rPr>
          <w:rFonts w:asciiTheme="minorHAnsi" w:hAnsiTheme="minorHAnsi" w:cstheme="minorHAnsi"/>
        </w:rPr>
        <w:tab/>
        <w:t>Exclusions</w:t>
      </w:r>
    </w:p>
    <w:p w14:paraId="2B7CC671" w14:textId="573508E8" w:rsidR="005949FB" w:rsidRPr="005C5490" w:rsidRDefault="00293744" w:rsidP="005C5490">
      <w:pPr>
        <w:spacing w:before="120" w:after="240"/>
        <w:rPr>
          <w:rFonts w:asciiTheme="minorHAnsi" w:hAnsiTheme="minorHAnsi" w:cstheme="minorHAnsi"/>
        </w:rPr>
      </w:pPr>
      <w:r w:rsidRPr="005C5490">
        <w:rPr>
          <w:rFonts w:asciiTheme="minorHAnsi" w:hAnsiTheme="minorHAnsi" w:cstheme="minorHAnsi"/>
        </w:rPr>
        <w:t>Any unusual circumstances or special projects not fully covered under this policy should be addressed to the Controller’s Office.</w:t>
      </w:r>
    </w:p>
    <w:p w14:paraId="6CD5B311" w14:textId="77777777" w:rsidR="009C60B1" w:rsidRPr="005C5490"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8" w:name="_IX._Effective_Date"/>
      <w:bookmarkEnd w:id="8"/>
      <w:r w:rsidRPr="005C5490">
        <w:rPr>
          <w:rFonts w:asciiTheme="minorHAnsi" w:hAnsiTheme="minorHAnsi" w:cstheme="minorHAnsi"/>
        </w:rPr>
        <w:t>IX.</w:t>
      </w:r>
      <w:r w:rsidRPr="005C5490">
        <w:rPr>
          <w:rFonts w:asciiTheme="minorHAnsi" w:hAnsiTheme="minorHAnsi" w:cstheme="minorHAnsi"/>
        </w:rPr>
        <w:tab/>
        <w:t>Effective Date</w:t>
      </w:r>
    </w:p>
    <w:p w14:paraId="5D438118" w14:textId="6CECC8E5" w:rsidR="009C60B1" w:rsidRPr="005C5490" w:rsidRDefault="00293744" w:rsidP="005C5490">
      <w:pPr>
        <w:spacing w:before="120" w:after="240"/>
        <w:rPr>
          <w:rFonts w:asciiTheme="minorHAnsi" w:hAnsiTheme="minorHAnsi" w:cstheme="minorHAnsi"/>
        </w:rPr>
      </w:pPr>
      <w:r w:rsidRPr="005C5490">
        <w:rPr>
          <w:rFonts w:asciiTheme="minorHAnsi" w:hAnsiTheme="minorHAnsi" w:cstheme="minorHAnsi"/>
        </w:rPr>
        <w:t>The effective date of this policy is the date it is adopted and signed by the University President.</w:t>
      </w:r>
    </w:p>
    <w:p w14:paraId="32F6D395" w14:textId="77777777" w:rsidR="009C60B1" w:rsidRPr="005C5490" w:rsidRDefault="009C60B1"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9" w:name="_X._Adoption_Date"/>
      <w:bookmarkEnd w:id="9"/>
      <w:r w:rsidRPr="005C5490">
        <w:rPr>
          <w:rFonts w:asciiTheme="minorHAnsi" w:hAnsiTheme="minorHAnsi" w:cstheme="minorHAnsi"/>
        </w:rPr>
        <w:t>X.</w:t>
      </w:r>
      <w:r w:rsidR="00892246" w:rsidRPr="005C5490">
        <w:rPr>
          <w:rFonts w:asciiTheme="minorHAnsi" w:hAnsiTheme="minorHAnsi" w:cstheme="minorHAnsi"/>
          <w:noProof/>
        </w:rPr>
        <w:t xml:space="preserve"> </w:t>
      </w:r>
      <w:r w:rsidRPr="005C5490">
        <w:rPr>
          <w:rFonts w:asciiTheme="minorHAnsi" w:hAnsiTheme="minorHAnsi" w:cstheme="minorHAnsi"/>
        </w:rPr>
        <w:tab/>
        <w:t xml:space="preserve">Adoption </w:t>
      </w:r>
    </w:p>
    <w:p w14:paraId="421FDCEA" w14:textId="38528749" w:rsidR="009C60B1" w:rsidRPr="005C5490" w:rsidRDefault="005949FB" w:rsidP="000D1A7A">
      <w:pPr>
        <w:tabs>
          <w:tab w:val="left" w:pos="720"/>
        </w:tabs>
        <w:spacing w:before="160" w:after="240"/>
        <w:rPr>
          <w:rFonts w:asciiTheme="minorHAnsi" w:hAnsiTheme="minorHAnsi" w:cstheme="minorHAnsi"/>
        </w:rPr>
      </w:pPr>
      <w:r w:rsidRPr="005C5490">
        <w:rPr>
          <w:rFonts w:asciiTheme="minorHAnsi" w:hAnsiTheme="minorHAnsi" w:cstheme="minorHAnsi"/>
        </w:rPr>
        <w:t>This polic</w:t>
      </w:r>
      <w:r w:rsidR="009448F4">
        <w:rPr>
          <w:rFonts w:asciiTheme="minorHAnsi" w:hAnsiTheme="minorHAnsi" w:cstheme="minorHAnsi"/>
        </w:rPr>
        <w:t>y is hereby adopted on this 11</w:t>
      </w:r>
      <w:r w:rsidR="009448F4" w:rsidRPr="009448F4">
        <w:rPr>
          <w:rFonts w:asciiTheme="minorHAnsi" w:hAnsiTheme="minorHAnsi" w:cstheme="minorHAnsi"/>
          <w:vertAlign w:val="superscript"/>
        </w:rPr>
        <w:t>th</w:t>
      </w:r>
      <w:r w:rsidR="009448F4">
        <w:rPr>
          <w:rFonts w:asciiTheme="minorHAnsi" w:hAnsiTheme="minorHAnsi" w:cstheme="minorHAnsi"/>
        </w:rPr>
        <w:t xml:space="preserve"> </w:t>
      </w:r>
      <w:r w:rsidRPr="005C5490">
        <w:rPr>
          <w:rFonts w:asciiTheme="minorHAnsi" w:hAnsiTheme="minorHAnsi" w:cstheme="minorHAnsi"/>
        </w:rPr>
        <w:t>day o</w:t>
      </w:r>
      <w:r w:rsidR="009448F4">
        <w:rPr>
          <w:rFonts w:asciiTheme="minorHAnsi" w:hAnsiTheme="minorHAnsi" w:cstheme="minorHAnsi"/>
        </w:rPr>
        <w:t>f October 2024</w:t>
      </w:r>
      <w:r w:rsidRPr="005C5490">
        <w:rPr>
          <w:rFonts w:asciiTheme="minorHAnsi" w:hAnsiTheme="minorHAnsi" w:cstheme="minorHAnsi"/>
        </w:rPr>
        <w:t>.</w:t>
      </w:r>
    </w:p>
    <w:p w14:paraId="5B6AC90F" w14:textId="5BB1CACD" w:rsidR="005949FB" w:rsidRPr="005C5490" w:rsidRDefault="009D20CF" w:rsidP="000D1A7A">
      <w:pPr>
        <w:tabs>
          <w:tab w:val="left" w:pos="720"/>
        </w:tabs>
        <w:spacing w:after="240"/>
        <w:rPr>
          <w:rFonts w:asciiTheme="minorHAnsi" w:hAnsiTheme="minorHAnsi" w:cstheme="minorHAnsi"/>
        </w:rPr>
      </w:pPr>
      <w:r w:rsidRPr="005C5490">
        <w:rPr>
          <w:rFonts w:asciiTheme="minorHAnsi" w:hAnsiTheme="minorHAnsi" w:cstheme="minorHAnsi"/>
        </w:rPr>
        <w:t xml:space="preserve">Recommended for Approval by: </w:t>
      </w:r>
      <w:r w:rsidRPr="005C5490">
        <w:rPr>
          <w:rFonts w:asciiTheme="minorHAnsi" w:hAnsiTheme="minorHAnsi" w:cstheme="minorHAnsi"/>
        </w:rPr>
        <w:tab/>
      </w:r>
      <w:r w:rsidRPr="005C5490">
        <w:rPr>
          <w:rFonts w:asciiTheme="minorHAnsi" w:hAnsiTheme="minorHAnsi" w:cstheme="minorHAnsi"/>
        </w:rPr>
        <w:tab/>
      </w:r>
      <w:r w:rsidRPr="005C5490">
        <w:rPr>
          <w:rFonts w:asciiTheme="minorHAnsi" w:hAnsiTheme="minorHAnsi" w:cstheme="minorHAnsi"/>
        </w:rPr>
        <w:tab/>
      </w:r>
      <w:r w:rsidRPr="005C5490">
        <w:rPr>
          <w:rFonts w:asciiTheme="minorHAnsi" w:hAnsiTheme="minorHAnsi" w:cstheme="minorHAnsi"/>
        </w:rPr>
        <w:tab/>
        <w:t>Approved by:</w:t>
      </w:r>
      <w:r w:rsidRPr="005C5490">
        <w:rPr>
          <w:rFonts w:asciiTheme="minorHAnsi" w:hAnsiTheme="minorHAnsi" w:cstheme="minorHAnsi"/>
        </w:rPr>
        <w:tab/>
      </w:r>
      <w:r w:rsidRPr="005C5490">
        <w:rPr>
          <w:rFonts w:asciiTheme="minorHAnsi" w:hAnsiTheme="minorHAnsi" w:cstheme="minorHAnsi"/>
        </w:rPr>
        <w:tab/>
      </w:r>
    </w:p>
    <w:p w14:paraId="2AB02C4D" w14:textId="4EBDFB6E" w:rsidR="000E6DF3" w:rsidRPr="005C5490" w:rsidRDefault="00E86602" w:rsidP="00E86602">
      <w:pPr>
        <w:tabs>
          <w:tab w:val="left" w:pos="6930"/>
        </w:tabs>
        <w:spacing w:after="240"/>
        <w:rPr>
          <w:rFonts w:asciiTheme="minorHAnsi" w:hAnsiTheme="minorHAnsi" w:cstheme="minorHAnsi"/>
        </w:rPr>
      </w:pPr>
      <w:r w:rsidRPr="0056218D">
        <w:rPr>
          <w:rFonts w:asciiTheme="minorHAnsi" w:hAnsiTheme="minorHAnsi"/>
          <w:noProof/>
        </w:rPr>
        <w:drawing>
          <wp:anchor distT="0" distB="0" distL="114300" distR="114300" simplePos="0" relativeHeight="251658241" behindDoc="0" locked="0" layoutInCell="1" allowOverlap="1" wp14:anchorId="02AB4580" wp14:editId="3B231F64">
            <wp:simplePos x="0" y="0"/>
            <wp:positionH relativeFrom="column">
              <wp:posOffset>4286250</wp:posOffset>
            </wp:positionH>
            <wp:positionV relativeFrom="paragraph">
              <wp:posOffset>28575</wp:posOffset>
            </wp:positionV>
            <wp:extent cx="1502410" cy="817880"/>
            <wp:effectExtent l="0" t="0" r="0" b="0"/>
            <wp:wrapNone/>
            <wp:docPr id="2" name="Picture 2" descr="Dr. Ronald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ald Berry's Signa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736C">
        <w:rPr>
          <w:rFonts w:asciiTheme="minorHAnsi" w:hAnsiTheme="minorHAnsi" w:cstheme="minorHAnsi"/>
          <w:noProof/>
        </w:rPr>
        <w:drawing>
          <wp:anchor distT="0" distB="0" distL="114300" distR="114300" simplePos="0" relativeHeight="251658240" behindDoc="0" locked="0" layoutInCell="1" allowOverlap="1" wp14:anchorId="543F56EC" wp14:editId="302AA8F9">
            <wp:simplePos x="0" y="0"/>
            <wp:positionH relativeFrom="column">
              <wp:posOffset>304800</wp:posOffset>
            </wp:positionH>
            <wp:positionV relativeFrom="paragraph">
              <wp:posOffset>119380</wp:posOffset>
            </wp:positionV>
            <wp:extent cx="2171700" cy="459291"/>
            <wp:effectExtent l="0" t="0" r="0" b="0"/>
            <wp:wrapNone/>
            <wp:docPr id="1" name="Picture 1" descr="Dr. Bill Grav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Bill Graves 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700" cy="45929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rPr>
        <w:tab/>
      </w:r>
    </w:p>
    <w:p w14:paraId="43A0565F" w14:textId="32DD6032" w:rsidR="009D20CF" w:rsidRPr="005C5490" w:rsidRDefault="000D1A7A" w:rsidP="009D20CF">
      <w:pPr>
        <w:rPr>
          <w:rFonts w:asciiTheme="minorHAnsi" w:hAnsiTheme="minorHAnsi" w:cstheme="minorHAnsi"/>
        </w:rPr>
      </w:pPr>
      <w:r w:rsidRPr="005C5490">
        <w:rPr>
          <w:rFonts w:asciiTheme="minorHAnsi" w:hAnsiTheme="minorHAnsi" w:cstheme="minorHAnsi"/>
        </w:rPr>
        <w:t>______</w:t>
      </w:r>
      <w:r w:rsidR="00550156" w:rsidRPr="005C5490">
        <w:rPr>
          <w:rFonts w:asciiTheme="minorHAnsi" w:hAnsiTheme="minorHAnsi" w:cstheme="minorHAnsi"/>
        </w:rPr>
        <w:t>______________________________</w:t>
      </w:r>
      <w:r w:rsidR="009D20CF" w:rsidRPr="005C5490">
        <w:rPr>
          <w:rFonts w:asciiTheme="minorHAnsi" w:hAnsiTheme="minorHAnsi" w:cstheme="minorHAnsi"/>
        </w:rPr>
        <w:tab/>
      </w:r>
      <w:r w:rsidR="009D20CF" w:rsidRPr="005C5490">
        <w:rPr>
          <w:rFonts w:asciiTheme="minorHAnsi" w:hAnsiTheme="minorHAnsi" w:cstheme="minorHAnsi"/>
        </w:rPr>
        <w:tab/>
      </w:r>
      <w:r w:rsidR="009D20CF" w:rsidRPr="005C5490">
        <w:rPr>
          <w:rFonts w:asciiTheme="minorHAnsi" w:hAnsiTheme="minorHAnsi" w:cstheme="minorHAnsi"/>
        </w:rPr>
        <w:tab/>
        <w:t>____________________________________</w:t>
      </w:r>
      <w:r w:rsidR="009D20CF" w:rsidRPr="005C5490">
        <w:rPr>
          <w:rFonts w:asciiTheme="minorHAnsi" w:hAnsiTheme="minorHAnsi" w:cstheme="minorHAnsi"/>
        </w:rPr>
        <w:tab/>
      </w:r>
    </w:p>
    <w:p w14:paraId="791E5087" w14:textId="22F44D74" w:rsidR="00550156" w:rsidRPr="005C5490" w:rsidRDefault="00293744" w:rsidP="009D20CF">
      <w:pPr>
        <w:tabs>
          <w:tab w:val="left" w:pos="720"/>
        </w:tabs>
        <w:spacing w:after="240"/>
        <w:rPr>
          <w:rFonts w:asciiTheme="minorHAnsi" w:hAnsiTheme="minorHAnsi" w:cstheme="minorHAnsi"/>
        </w:rPr>
      </w:pPr>
      <w:r w:rsidRPr="005C5490">
        <w:rPr>
          <w:rFonts w:asciiTheme="minorHAnsi" w:hAnsiTheme="minorHAnsi" w:cstheme="minorHAnsi"/>
        </w:rPr>
        <w:t>Dr. Bill Graves, Vice President Business Affairs</w:t>
      </w:r>
      <w:r w:rsidR="009D20CF" w:rsidRPr="005C5490">
        <w:rPr>
          <w:rFonts w:asciiTheme="minorHAnsi" w:hAnsiTheme="minorHAnsi" w:cstheme="minorHAnsi"/>
          <w:b/>
        </w:rPr>
        <w:t xml:space="preserve">   </w:t>
      </w:r>
      <w:r w:rsidR="0065093B" w:rsidRPr="005C5490">
        <w:rPr>
          <w:rFonts w:asciiTheme="minorHAnsi" w:hAnsiTheme="minorHAnsi" w:cstheme="minorHAnsi"/>
          <w:b/>
        </w:rPr>
        <w:t xml:space="preserve">      </w:t>
      </w:r>
      <w:r w:rsidR="009D20CF" w:rsidRPr="005C5490">
        <w:rPr>
          <w:rFonts w:asciiTheme="minorHAnsi" w:hAnsiTheme="minorHAnsi" w:cstheme="minorHAnsi"/>
          <w:b/>
        </w:rPr>
        <w:t xml:space="preserve">          </w:t>
      </w:r>
      <w:r w:rsidR="00E86602">
        <w:rPr>
          <w:rFonts w:asciiTheme="minorHAnsi" w:hAnsiTheme="minorHAnsi" w:cstheme="minorHAnsi"/>
          <w:b/>
        </w:rPr>
        <w:t xml:space="preserve">               </w:t>
      </w:r>
      <w:r w:rsidR="009D20CF" w:rsidRPr="005C5490">
        <w:rPr>
          <w:rFonts w:asciiTheme="minorHAnsi" w:hAnsiTheme="minorHAnsi" w:cstheme="minorHAnsi"/>
          <w:b/>
        </w:rPr>
        <w:t xml:space="preserve">      </w:t>
      </w:r>
      <w:r w:rsidR="00740EAA" w:rsidRPr="005C5490">
        <w:rPr>
          <w:rFonts w:asciiTheme="minorHAnsi" w:hAnsiTheme="minorHAnsi" w:cstheme="minorHAnsi"/>
        </w:rPr>
        <w:t xml:space="preserve">Dr. </w:t>
      </w:r>
      <w:r w:rsidRPr="005C5490">
        <w:rPr>
          <w:rFonts w:asciiTheme="minorHAnsi" w:hAnsiTheme="minorHAnsi" w:cstheme="minorHAnsi"/>
        </w:rPr>
        <w:t>Ron Berry, President</w:t>
      </w:r>
    </w:p>
    <w:p w14:paraId="1B0438F7" w14:textId="77777777" w:rsidR="00B34DF6" w:rsidRPr="005C5490" w:rsidRDefault="00B34DF6" w:rsidP="00DB4992">
      <w:pPr>
        <w:pStyle w:val="Heading3"/>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cstheme="minorHAnsi"/>
        </w:rPr>
      </w:pPr>
      <w:bookmarkStart w:id="10" w:name="_XI._References_and"/>
      <w:bookmarkStart w:id="11" w:name="_XI._Appendices,_References"/>
      <w:bookmarkEnd w:id="10"/>
      <w:bookmarkEnd w:id="11"/>
      <w:r w:rsidRPr="005C5490">
        <w:rPr>
          <w:rFonts w:asciiTheme="minorHAnsi" w:hAnsiTheme="minorHAnsi" w:cstheme="minorHAnsi"/>
        </w:rPr>
        <w:t>XI.</w:t>
      </w:r>
      <w:r w:rsidRPr="005C5490">
        <w:rPr>
          <w:rFonts w:asciiTheme="minorHAnsi" w:hAnsiTheme="minorHAnsi" w:cstheme="minorHAnsi"/>
        </w:rPr>
        <w:tab/>
      </w:r>
      <w:r w:rsidR="00DC6236" w:rsidRPr="005C5490">
        <w:rPr>
          <w:rFonts w:asciiTheme="minorHAnsi" w:hAnsiTheme="minorHAnsi" w:cstheme="minorHAnsi"/>
        </w:rPr>
        <w:t xml:space="preserve">Appendices, </w:t>
      </w:r>
      <w:r w:rsidR="008B5DDB" w:rsidRPr="005C5490">
        <w:rPr>
          <w:rFonts w:asciiTheme="minorHAnsi" w:hAnsiTheme="minorHAnsi" w:cstheme="minorHAnsi"/>
        </w:rPr>
        <w:t>References and Related Materials</w:t>
      </w:r>
    </w:p>
    <w:p w14:paraId="0C0A2131" w14:textId="6124752F" w:rsidR="00DC6236" w:rsidRPr="005C5490" w:rsidRDefault="003B4DBE" w:rsidP="000D1A7A">
      <w:pPr>
        <w:spacing w:before="160" w:after="240"/>
        <w:rPr>
          <w:rFonts w:asciiTheme="minorHAnsi" w:hAnsiTheme="minorHAnsi" w:cstheme="minorHAnsi"/>
        </w:rPr>
      </w:pPr>
      <w:r w:rsidRPr="00622E94">
        <w:rPr>
          <w:rFonts w:asciiTheme="minorHAnsi" w:hAnsiTheme="minorHAnsi" w:cstheme="minorHAnsi"/>
          <w:bCs/>
        </w:rPr>
        <w:t>ULM Student Tuition &amp; Fees Appeal Policy</w:t>
      </w:r>
      <w:r w:rsidRPr="00622E94">
        <w:rPr>
          <w:rFonts w:asciiTheme="minorHAnsi" w:hAnsiTheme="minorHAnsi" w:cstheme="minorHAnsi"/>
          <w:b/>
          <w:bCs/>
        </w:rPr>
        <w:t>:</w:t>
      </w:r>
      <w:r w:rsidRPr="005C5490">
        <w:rPr>
          <w:rFonts w:asciiTheme="minorHAnsi" w:hAnsiTheme="minorHAnsi" w:cstheme="minorHAnsi"/>
        </w:rPr>
        <w:t xml:space="preserve">  </w:t>
      </w:r>
      <w:hyperlink r:id="rId14" w:history="1">
        <w:r w:rsidRPr="005C5490">
          <w:rPr>
            <w:rStyle w:val="Hyperlink"/>
            <w:rFonts w:asciiTheme="minorHAnsi" w:hAnsiTheme="minorHAnsi" w:cstheme="minorHAnsi"/>
          </w:rPr>
          <w:t>https://webservices.ulm.edu/policies/download-policy/311</w:t>
        </w:r>
      </w:hyperlink>
    </w:p>
    <w:p w14:paraId="424BA60B" w14:textId="4A1BB30A" w:rsidR="005C5490" w:rsidRPr="005C5490" w:rsidRDefault="003B4DBE" w:rsidP="000D1A7A">
      <w:pPr>
        <w:spacing w:after="240"/>
        <w:rPr>
          <w:rFonts w:asciiTheme="minorHAnsi" w:hAnsiTheme="minorHAnsi" w:cstheme="minorHAnsi"/>
        </w:rPr>
      </w:pPr>
      <w:r w:rsidRPr="00622E94">
        <w:rPr>
          <w:rFonts w:asciiTheme="minorHAnsi" w:hAnsiTheme="minorHAnsi" w:cstheme="minorHAnsi"/>
          <w:bCs/>
        </w:rPr>
        <w:t>ULS Students With Debt Policy:</w:t>
      </w:r>
      <w:hyperlink r:id="rId15" w:history="1">
        <w:r w:rsidR="00622E94" w:rsidRPr="00622E94">
          <w:rPr>
            <w:rStyle w:val="Hyperlink"/>
            <w:rFonts w:asciiTheme="minorHAnsi" w:hAnsiTheme="minorHAnsi" w:cstheme="minorHAnsi"/>
          </w:rPr>
          <w:t xml:space="preserve"> https://www.ulsystem.edu/wp-content/uploads/2024/10/FB-IV.3-Students-with-Debt-Policy-updated-2024-final.pdf</w:t>
        </w:r>
      </w:hyperlink>
    </w:p>
    <w:p w14:paraId="7A82E43E" w14:textId="77777777" w:rsidR="00DC6236" w:rsidRPr="005C5490" w:rsidRDefault="00DC6236" w:rsidP="00DB4992">
      <w:pPr>
        <w:pStyle w:val="Heading3"/>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cstheme="minorHAnsi"/>
        </w:rPr>
      </w:pPr>
      <w:bookmarkStart w:id="12" w:name="_XII._Revision_History"/>
      <w:bookmarkEnd w:id="12"/>
      <w:r w:rsidRPr="005C5490">
        <w:rPr>
          <w:rFonts w:asciiTheme="minorHAnsi" w:hAnsiTheme="minorHAnsi" w:cstheme="minorHAnsi"/>
        </w:rPr>
        <w:t>XII.</w:t>
      </w:r>
      <w:r w:rsidRPr="005C5490">
        <w:rPr>
          <w:rFonts w:asciiTheme="minorHAnsi" w:hAnsiTheme="minorHAnsi" w:cstheme="minorHAnsi"/>
        </w:rPr>
        <w:tab/>
        <w:t>Revision History</w:t>
      </w:r>
      <w:r w:rsidR="00892246" w:rsidRPr="005C5490">
        <w:rPr>
          <w:rFonts w:asciiTheme="minorHAnsi" w:hAnsiTheme="minorHAnsi" w:cstheme="minorHAnsi"/>
        </w:rPr>
        <w:tab/>
      </w:r>
    </w:p>
    <w:p w14:paraId="0A7B2061" w14:textId="7D030FBF" w:rsidR="00DC6236" w:rsidRPr="00622E94" w:rsidRDefault="00293744" w:rsidP="000D1A7A">
      <w:pPr>
        <w:spacing w:before="160" w:after="240"/>
        <w:rPr>
          <w:rFonts w:asciiTheme="minorHAnsi" w:hAnsiTheme="minorHAnsi" w:cstheme="minorHAnsi"/>
          <w:bCs/>
        </w:rPr>
      </w:pPr>
      <w:r w:rsidRPr="005C5490">
        <w:rPr>
          <w:rFonts w:asciiTheme="minorHAnsi" w:hAnsiTheme="minorHAnsi" w:cstheme="minorHAnsi"/>
          <w:bCs/>
        </w:rPr>
        <w:t xml:space="preserve">Original Adoption Date: </w:t>
      </w:r>
      <w:r w:rsidR="00502DFD" w:rsidRPr="005C5490">
        <w:rPr>
          <w:rFonts w:asciiTheme="minorHAnsi" w:hAnsiTheme="minorHAnsi" w:cstheme="minorHAnsi"/>
          <w:bCs/>
          <w:i/>
        </w:rPr>
        <w:t xml:space="preserve">  </w:t>
      </w:r>
      <w:r w:rsidR="009448F4">
        <w:rPr>
          <w:rFonts w:asciiTheme="minorHAnsi" w:hAnsiTheme="minorHAnsi" w:cstheme="minorHAnsi"/>
          <w:bCs/>
        </w:rPr>
        <w:t>October 11</w:t>
      </w:r>
      <w:r w:rsidR="00622E94">
        <w:rPr>
          <w:rFonts w:asciiTheme="minorHAnsi" w:hAnsiTheme="minorHAnsi" w:cstheme="minorHAnsi"/>
          <w:bCs/>
        </w:rPr>
        <w:t>, 2024</w:t>
      </w:r>
    </w:p>
    <w:sectPr w:rsidR="00DC6236" w:rsidRPr="00622E94" w:rsidSect="00624FE6">
      <w:headerReference w:type="default" r:id="rId16"/>
      <w:footerReference w:type="default" r:id="rId17"/>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6A166" w14:textId="77777777" w:rsidR="002405D7" w:rsidRDefault="002405D7">
      <w:r>
        <w:separator/>
      </w:r>
    </w:p>
  </w:endnote>
  <w:endnote w:type="continuationSeparator" w:id="0">
    <w:p w14:paraId="72E28CD9" w14:textId="77777777" w:rsidR="002405D7" w:rsidRDefault="002405D7">
      <w:r>
        <w:continuationSeparator/>
      </w:r>
    </w:p>
  </w:endnote>
  <w:endnote w:type="continuationNotice" w:id="1">
    <w:p w14:paraId="01D62A9E" w14:textId="77777777" w:rsidR="00DA7B61" w:rsidRDefault="00DA7B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5B8220CB" w14:textId="470CDC6C" w:rsidR="002A45EB" w:rsidRPr="00B93AFE" w:rsidRDefault="00622E94" w:rsidP="002A45EB">
            <w:pPr>
              <w:pStyle w:val="NoSpacing"/>
              <w:rPr>
                <w:rFonts w:asciiTheme="minorHAnsi" w:hAnsiTheme="minorHAnsi"/>
                <w:bCs/>
              </w:rPr>
            </w:pPr>
            <w:r>
              <w:rPr>
                <w:rFonts w:asciiTheme="minorHAnsi" w:hAnsiTheme="minorHAnsi"/>
              </w:rPr>
              <w:t xml:space="preserve">Allowance for Doubtful Accounts for Delinquent Student Accounts Policy               </w:t>
            </w:r>
            <w:r w:rsidR="002A45EB" w:rsidRPr="00B93AFE">
              <w:rPr>
                <w:rFonts w:asciiTheme="minorHAnsi" w:hAnsiTheme="minorHAnsi"/>
              </w:rPr>
              <w:t xml:space="preserve">                   </w:t>
            </w:r>
            <w:r>
              <w:rPr>
                <w:rFonts w:asciiTheme="minorHAnsi" w:hAnsiTheme="minorHAnsi"/>
              </w:rPr>
              <w:t xml:space="preserve"> </w:t>
            </w:r>
            <w:r w:rsidR="002A45EB" w:rsidRPr="00B93AFE">
              <w:rPr>
                <w:rFonts w:asciiTheme="minorHAnsi" w:hAnsiTheme="minorHAnsi"/>
              </w:rPr>
              <w:t xml:space="preserve">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9448F4">
              <w:rPr>
                <w:rFonts w:asciiTheme="minorHAnsi" w:hAnsiTheme="minorHAnsi"/>
                <w:bCs/>
                <w:noProof/>
              </w:rPr>
              <w:t>3</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9448F4">
              <w:rPr>
                <w:rFonts w:asciiTheme="minorHAnsi" w:hAnsiTheme="minorHAnsi"/>
                <w:bCs/>
                <w:noProof/>
              </w:rPr>
              <w:t>3</w:t>
            </w:r>
            <w:r w:rsidR="002A45EB" w:rsidRPr="00B93AFE">
              <w:rPr>
                <w:rFonts w:asciiTheme="minorHAnsi" w:hAnsiTheme="minorHAnsi"/>
                <w:bCs/>
              </w:rPr>
              <w:fldChar w:fldCharType="end"/>
            </w:r>
          </w:p>
          <w:p w14:paraId="2A30EE34" w14:textId="275A31B4" w:rsidR="002A45EB" w:rsidRPr="00B93AFE" w:rsidRDefault="009448F4" w:rsidP="002A45EB">
            <w:pPr>
              <w:pStyle w:val="NoSpacing"/>
              <w:rPr>
                <w:rFonts w:asciiTheme="minorHAnsi" w:hAnsiTheme="minorHAnsi"/>
                <w:bCs/>
              </w:rPr>
            </w:pPr>
            <w:r>
              <w:rPr>
                <w:rFonts w:asciiTheme="minorHAnsi" w:hAnsiTheme="minorHAnsi"/>
                <w:bCs/>
              </w:rPr>
              <w:t>CO007.1 – October 11</w:t>
            </w:r>
            <w:r w:rsidR="00622E94">
              <w:rPr>
                <w:rFonts w:asciiTheme="minorHAnsi" w:hAnsiTheme="minorHAnsi"/>
                <w:bCs/>
              </w:rPr>
              <w:t>, 2024</w:t>
            </w:r>
          </w:p>
          <w:p w14:paraId="322F0E4B" w14:textId="77777777" w:rsidR="009F793A" w:rsidRPr="00B93AFE" w:rsidRDefault="002A45EB" w:rsidP="007A3387">
            <w:pPr>
              <w:pStyle w:val="NoSpacing"/>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sidRPr="00A91960">
              <w:rPr>
                <w:rFonts w:asciiTheme="minorHAnsi" w:hAnsiTheme="minorHAnsi"/>
                <w:bCs/>
                <w:color w:val="000000" w:themeColor="text1"/>
                <w:sz w:val="20"/>
                <w:szCs w:val="20"/>
              </w:rPr>
              <w:t xml:space="preserve">Rev. </w:t>
            </w:r>
            <w:r w:rsidR="00740EAA" w:rsidRPr="00A91960">
              <w:rPr>
                <w:rFonts w:asciiTheme="minorHAnsi" w:hAnsiTheme="minorHAnsi"/>
                <w:bCs/>
                <w:color w:val="000000" w:themeColor="text1"/>
                <w:sz w:val="20"/>
                <w:szCs w:val="20"/>
              </w:rPr>
              <w:t>6</w:t>
            </w:r>
            <w:r w:rsidR="001109B8" w:rsidRPr="00A91960">
              <w:rPr>
                <w:rFonts w:asciiTheme="minorHAnsi" w:hAnsiTheme="minorHAnsi"/>
                <w:bCs/>
                <w:color w:val="000000" w:themeColor="text1"/>
                <w:sz w:val="20"/>
                <w:szCs w:val="20"/>
              </w:rPr>
              <w:t>/</w:t>
            </w:r>
            <w:r w:rsidR="00740EAA" w:rsidRPr="00A91960">
              <w:rPr>
                <w:rFonts w:asciiTheme="minorHAnsi" w:hAnsiTheme="minorHAnsi"/>
                <w:bCs/>
                <w:color w:val="000000" w:themeColor="text1"/>
                <w:sz w:val="20"/>
                <w:szCs w:val="20"/>
              </w:rPr>
              <w:t>03</w:t>
            </w:r>
            <w:r w:rsidRPr="00A91960">
              <w:rPr>
                <w:rFonts w:asciiTheme="minorHAnsi" w:hAnsiTheme="minorHAnsi"/>
                <w:bCs/>
                <w:color w:val="000000" w:themeColor="text1"/>
                <w:sz w:val="20"/>
                <w:szCs w:val="20"/>
              </w:rPr>
              <w:t>/20</w:t>
            </w:r>
            <w:r w:rsidR="00DB4992" w:rsidRPr="00A91960">
              <w:rPr>
                <w:rFonts w:asciiTheme="minorHAnsi" w:hAnsiTheme="minorHAnsi"/>
                <w:bCs/>
                <w:color w:val="000000" w:themeColor="text1"/>
                <w:sz w:val="20"/>
                <w:szCs w:val="20"/>
              </w:rPr>
              <w:t>20</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6C952" w14:textId="77777777" w:rsidR="002405D7" w:rsidRDefault="002405D7">
      <w:r>
        <w:separator/>
      </w:r>
    </w:p>
  </w:footnote>
  <w:footnote w:type="continuationSeparator" w:id="0">
    <w:p w14:paraId="7F8D9720" w14:textId="77777777" w:rsidR="002405D7" w:rsidRDefault="002405D7">
      <w:r>
        <w:continuationSeparator/>
      </w:r>
    </w:p>
  </w:footnote>
  <w:footnote w:type="continuationNotice" w:id="1">
    <w:p w14:paraId="65EDAE0F" w14:textId="77777777" w:rsidR="00DA7B61" w:rsidRDefault="00DA7B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4C0C7" w14:textId="410E8018" w:rsidR="00283491" w:rsidRDefault="00283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51pt" o:bullet="t">
        <v:imagedata r:id="rId1" o:title="UL Fleur de Lis"/>
      </v:shape>
    </w:pict>
  </w:numPicBullet>
  <w:abstractNum w:abstractNumId="0"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8A5C68"/>
    <w:multiLevelType w:val="hybridMultilevel"/>
    <w:tmpl w:val="7A688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9"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0"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4A864898"/>
    <w:multiLevelType w:val="hybridMultilevel"/>
    <w:tmpl w:val="8AE88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88E33A8"/>
    <w:multiLevelType w:val="hybridMultilevel"/>
    <w:tmpl w:val="0524A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24"/>
  </w:num>
  <w:num w:numId="2">
    <w:abstractNumId w:val="11"/>
  </w:num>
  <w:num w:numId="3">
    <w:abstractNumId w:val="15"/>
  </w:num>
  <w:num w:numId="4">
    <w:abstractNumId w:val="0"/>
  </w:num>
  <w:num w:numId="5">
    <w:abstractNumId w:val="16"/>
  </w:num>
  <w:num w:numId="6">
    <w:abstractNumId w:val="29"/>
  </w:num>
  <w:num w:numId="7">
    <w:abstractNumId w:val="23"/>
  </w:num>
  <w:num w:numId="8">
    <w:abstractNumId w:val="30"/>
  </w:num>
  <w:num w:numId="9">
    <w:abstractNumId w:val="28"/>
  </w:num>
  <w:num w:numId="10">
    <w:abstractNumId w:val="26"/>
  </w:num>
  <w:num w:numId="11">
    <w:abstractNumId w:val="4"/>
  </w:num>
  <w:num w:numId="12">
    <w:abstractNumId w:val="8"/>
  </w:num>
  <w:num w:numId="13">
    <w:abstractNumId w:val="9"/>
  </w:num>
  <w:num w:numId="14">
    <w:abstractNumId w:val="27"/>
  </w:num>
  <w:num w:numId="15">
    <w:abstractNumId w:val="7"/>
  </w:num>
  <w:num w:numId="16">
    <w:abstractNumId w:val="5"/>
  </w:num>
  <w:num w:numId="17">
    <w:abstractNumId w:val="17"/>
  </w:num>
  <w:num w:numId="18">
    <w:abstractNumId w:val="20"/>
  </w:num>
  <w:num w:numId="19">
    <w:abstractNumId w:val="13"/>
  </w:num>
  <w:num w:numId="20">
    <w:abstractNumId w:val="14"/>
  </w:num>
  <w:num w:numId="21">
    <w:abstractNumId w:val="22"/>
  </w:num>
  <w:num w:numId="22">
    <w:abstractNumId w:val="18"/>
  </w:num>
  <w:num w:numId="23">
    <w:abstractNumId w:val="19"/>
  </w:num>
  <w:num w:numId="24">
    <w:abstractNumId w:val="2"/>
  </w:num>
  <w:num w:numId="25">
    <w:abstractNumId w:val="10"/>
  </w:num>
  <w:num w:numId="26">
    <w:abstractNumId w:val="6"/>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5"/>
  </w:num>
  <w:num w:numId="30">
    <w:abstractNumId w:val="12"/>
  </w:num>
  <w:num w:numId="31">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3kopq5egkq3iqy+9C0aG/WSbuAzs+ztiUtd9Lr9yY5Tj+yN2zN8ts9vroy6QHPP39fWTtqW7xcjORHN8f4NNMA==" w:salt="9c8t+Pvi3PRuFDfnlwx+Eg=="/>
  <w:defaultTabStop w:val="720"/>
  <w:drawingGridHorizontalSpacing w:val="120"/>
  <w:displayHorizontalDrawingGridEvery w:val="2"/>
  <w:noPunctuationKerning/>
  <w:characterSpacingControl w:val="doNotCompress"/>
  <w:hdrShapeDefaults>
    <o:shapedefaults v:ext="edit" spidmax="2049">
      <o:colormru v:ext="edit" colors="#c00"/>
      <o:colormenu v:ext="edit" fillcolor="none [321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1089"/>
    <w:rsid w:val="00002DB9"/>
    <w:rsid w:val="0002204C"/>
    <w:rsid w:val="00025C43"/>
    <w:rsid w:val="000344EE"/>
    <w:rsid w:val="00040919"/>
    <w:rsid w:val="00044A15"/>
    <w:rsid w:val="0005141E"/>
    <w:rsid w:val="00054B39"/>
    <w:rsid w:val="0005755E"/>
    <w:rsid w:val="000742D7"/>
    <w:rsid w:val="00082507"/>
    <w:rsid w:val="00083CF2"/>
    <w:rsid w:val="00092240"/>
    <w:rsid w:val="000930B2"/>
    <w:rsid w:val="000943A4"/>
    <w:rsid w:val="000A3284"/>
    <w:rsid w:val="000A3D1C"/>
    <w:rsid w:val="000A4CA0"/>
    <w:rsid w:val="000A65C4"/>
    <w:rsid w:val="000C5385"/>
    <w:rsid w:val="000C7BB9"/>
    <w:rsid w:val="000D0AE8"/>
    <w:rsid w:val="000D1961"/>
    <w:rsid w:val="000D1A7A"/>
    <w:rsid w:val="000D5D19"/>
    <w:rsid w:val="000D7D7D"/>
    <w:rsid w:val="000E3C13"/>
    <w:rsid w:val="000E4A6E"/>
    <w:rsid w:val="000E6DF3"/>
    <w:rsid w:val="000F6076"/>
    <w:rsid w:val="00100BB6"/>
    <w:rsid w:val="00102C6C"/>
    <w:rsid w:val="0011008F"/>
    <w:rsid w:val="001109B8"/>
    <w:rsid w:val="001125E5"/>
    <w:rsid w:val="0011743B"/>
    <w:rsid w:val="00122160"/>
    <w:rsid w:val="001229F6"/>
    <w:rsid w:val="0012319A"/>
    <w:rsid w:val="00123A21"/>
    <w:rsid w:val="00125E21"/>
    <w:rsid w:val="00146ACC"/>
    <w:rsid w:val="00146FDF"/>
    <w:rsid w:val="001518A1"/>
    <w:rsid w:val="00151C37"/>
    <w:rsid w:val="00152018"/>
    <w:rsid w:val="00163022"/>
    <w:rsid w:val="00166E92"/>
    <w:rsid w:val="00177101"/>
    <w:rsid w:val="00177645"/>
    <w:rsid w:val="00177858"/>
    <w:rsid w:val="0018269B"/>
    <w:rsid w:val="00183BC8"/>
    <w:rsid w:val="00185764"/>
    <w:rsid w:val="00186A15"/>
    <w:rsid w:val="001B16F9"/>
    <w:rsid w:val="001C25FB"/>
    <w:rsid w:val="001D0A03"/>
    <w:rsid w:val="001D24F2"/>
    <w:rsid w:val="001D60B6"/>
    <w:rsid w:val="001E3743"/>
    <w:rsid w:val="001E3D23"/>
    <w:rsid w:val="001F7025"/>
    <w:rsid w:val="001F768C"/>
    <w:rsid w:val="002005A9"/>
    <w:rsid w:val="0020179A"/>
    <w:rsid w:val="00205E69"/>
    <w:rsid w:val="00207393"/>
    <w:rsid w:val="00207D8A"/>
    <w:rsid w:val="00210D23"/>
    <w:rsid w:val="0023788F"/>
    <w:rsid w:val="002405D7"/>
    <w:rsid w:val="00243922"/>
    <w:rsid w:val="00244D52"/>
    <w:rsid w:val="002542A2"/>
    <w:rsid w:val="00254BA5"/>
    <w:rsid w:val="002554EF"/>
    <w:rsid w:val="00255C42"/>
    <w:rsid w:val="00262E7E"/>
    <w:rsid w:val="00263FD2"/>
    <w:rsid w:val="0026500E"/>
    <w:rsid w:val="002664B0"/>
    <w:rsid w:val="002702FA"/>
    <w:rsid w:val="00272F72"/>
    <w:rsid w:val="002742B1"/>
    <w:rsid w:val="00283491"/>
    <w:rsid w:val="00285271"/>
    <w:rsid w:val="00285D14"/>
    <w:rsid w:val="0028616C"/>
    <w:rsid w:val="00293744"/>
    <w:rsid w:val="002945A0"/>
    <w:rsid w:val="002956AB"/>
    <w:rsid w:val="00295E92"/>
    <w:rsid w:val="002A183D"/>
    <w:rsid w:val="002A3594"/>
    <w:rsid w:val="002A45EB"/>
    <w:rsid w:val="002A49FF"/>
    <w:rsid w:val="002B2C7C"/>
    <w:rsid w:val="002B54BB"/>
    <w:rsid w:val="002B6FF1"/>
    <w:rsid w:val="002C0134"/>
    <w:rsid w:val="002C28A7"/>
    <w:rsid w:val="002D396B"/>
    <w:rsid w:val="002E365A"/>
    <w:rsid w:val="002E59E6"/>
    <w:rsid w:val="002F0375"/>
    <w:rsid w:val="00301BD1"/>
    <w:rsid w:val="00301DDA"/>
    <w:rsid w:val="003021B6"/>
    <w:rsid w:val="00304E07"/>
    <w:rsid w:val="003151C5"/>
    <w:rsid w:val="003256F7"/>
    <w:rsid w:val="00325974"/>
    <w:rsid w:val="003467E8"/>
    <w:rsid w:val="00347989"/>
    <w:rsid w:val="003530ED"/>
    <w:rsid w:val="00354156"/>
    <w:rsid w:val="00354FB3"/>
    <w:rsid w:val="00366733"/>
    <w:rsid w:val="00366E12"/>
    <w:rsid w:val="00375315"/>
    <w:rsid w:val="0038010B"/>
    <w:rsid w:val="00383A8D"/>
    <w:rsid w:val="00385715"/>
    <w:rsid w:val="0039185B"/>
    <w:rsid w:val="00396EDF"/>
    <w:rsid w:val="003A0E25"/>
    <w:rsid w:val="003A527D"/>
    <w:rsid w:val="003A7263"/>
    <w:rsid w:val="003A74E2"/>
    <w:rsid w:val="003B36CE"/>
    <w:rsid w:val="003B4DBE"/>
    <w:rsid w:val="003C5D06"/>
    <w:rsid w:val="003C7515"/>
    <w:rsid w:val="003D2FDB"/>
    <w:rsid w:val="003E0BD4"/>
    <w:rsid w:val="003E2DD7"/>
    <w:rsid w:val="003E30CA"/>
    <w:rsid w:val="003E4B2F"/>
    <w:rsid w:val="003F11B6"/>
    <w:rsid w:val="003F175D"/>
    <w:rsid w:val="004004F2"/>
    <w:rsid w:val="004016F2"/>
    <w:rsid w:val="00403159"/>
    <w:rsid w:val="00403207"/>
    <w:rsid w:val="004073CA"/>
    <w:rsid w:val="00414DB6"/>
    <w:rsid w:val="00421E95"/>
    <w:rsid w:val="004245AB"/>
    <w:rsid w:val="00426AF1"/>
    <w:rsid w:val="00427021"/>
    <w:rsid w:val="004369EF"/>
    <w:rsid w:val="00443985"/>
    <w:rsid w:val="00445EA8"/>
    <w:rsid w:val="00446DAD"/>
    <w:rsid w:val="0045310B"/>
    <w:rsid w:val="00456A91"/>
    <w:rsid w:val="00460F85"/>
    <w:rsid w:val="00461E96"/>
    <w:rsid w:val="00466146"/>
    <w:rsid w:val="0047315A"/>
    <w:rsid w:val="00482BF7"/>
    <w:rsid w:val="004A24F1"/>
    <w:rsid w:val="004A33CF"/>
    <w:rsid w:val="004B4765"/>
    <w:rsid w:val="004B4D96"/>
    <w:rsid w:val="004C15AB"/>
    <w:rsid w:val="004C1BE5"/>
    <w:rsid w:val="004C7EFB"/>
    <w:rsid w:val="004D0576"/>
    <w:rsid w:val="004D2A86"/>
    <w:rsid w:val="004E14ED"/>
    <w:rsid w:val="004E23A0"/>
    <w:rsid w:val="004E2569"/>
    <w:rsid w:val="004E3FD8"/>
    <w:rsid w:val="004E5BA4"/>
    <w:rsid w:val="004F42FB"/>
    <w:rsid w:val="004F63EC"/>
    <w:rsid w:val="00500584"/>
    <w:rsid w:val="00502DFD"/>
    <w:rsid w:val="00527A75"/>
    <w:rsid w:val="00532AA9"/>
    <w:rsid w:val="00542B5E"/>
    <w:rsid w:val="00545D1C"/>
    <w:rsid w:val="00546DC0"/>
    <w:rsid w:val="00550156"/>
    <w:rsid w:val="005520C8"/>
    <w:rsid w:val="00560CC3"/>
    <w:rsid w:val="005763C1"/>
    <w:rsid w:val="00591F81"/>
    <w:rsid w:val="005949FB"/>
    <w:rsid w:val="00597A37"/>
    <w:rsid w:val="005A3A3C"/>
    <w:rsid w:val="005A497D"/>
    <w:rsid w:val="005A4A92"/>
    <w:rsid w:val="005A5B7E"/>
    <w:rsid w:val="005A7F7F"/>
    <w:rsid w:val="005B2137"/>
    <w:rsid w:val="005B5027"/>
    <w:rsid w:val="005C2CBE"/>
    <w:rsid w:val="005C5490"/>
    <w:rsid w:val="005D290B"/>
    <w:rsid w:val="005D334D"/>
    <w:rsid w:val="005D593A"/>
    <w:rsid w:val="005D6020"/>
    <w:rsid w:val="005D7C13"/>
    <w:rsid w:val="005E0F04"/>
    <w:rsid w:val="005E6DEF"/>
    <w:rsid w:val="005E7ED1"/>
    <w:rsid w:val="005F104F"/>
    <w:rsid w:val="005F351F"/>
    <w:rsid w:val="006042EB"/>
    <w:rsid w:val="00604A03"/>
    <w:rsid w:val="00617099"/>
    <w:rsid w:val="00622E94"/>
    <w:rsid w:val="00624FE6"/>
    <w:rsid w:val="006314CA"/>
    <w:rsid w:val="00635ACC"/>
    <w:rsid w:val="00640227"/>
    <w:rsid w:val="00640364"/>
    <w:rsid w:val="006448E3"/>
    <w:rsid w:val="0065069D"/>
    <w:rsid w:val="0065093B"/>
    <w:rsid w:val="00656B95"/>
    <w:rsid w:val="00681BCC"/>
    <w:rsid w:val="00686010"/>
    <w:rsid w:val="0068792F"/>
    <w:rsid w:val="00690493"/>
    <w:rsid w:val="00695619"/>
    <w:rsid w:val="00695EA3"/>
    <w:rsid w:val="006960ED"/>
    <w:rsid w:val="00696E8F"/>
    <w:rsid w:val="006A2AC4"/>
    <w:rsid w:val="006A2DBF"/>
    <w:rsid w:val="006A4007"/>
    <w:rsid w:val="006B3B5F"/>
    <w:rsid w:val="006B7824"/>
    <w:rsid w:val="006C000E"/>
    <w:rsid w:val="006C2F83"/>
    <w:rsid w:val="006D2AF2"/>
    <w:rsid w:val="006D2E31"/>
    <w:rsid w:val="006D43AA"/>
    <w:rsid w:val="006D7D96"/>
    <w:rsid w:val="006E1145"/>
    <w:rsid w:val="006E1C23"/>
    <w:rsid w:val="006E278A"/>
    <w:rsid w:val="006E7858"/>
    <w:rsid w:val="006F6044"/>
    <w:rsid w:val="006F66F4"/>
    <w:rsid w:val="00705AB3"/>
    <w:rsid w:val="00706A85"/>
    <w:rsid w:val="007072F3"/>
    <w:rsid w:val="00710E15"/>
    <w:rsid w:val="00712094"/>
    <w:rsid w:val="00715820"/>
    <w:rsid w:val="00715B31"/>
    <w:rsid w:val="00724867"/>
    <w:rsid w:val="007263D3"/>
    <w:rsid w:val="00730EFC"/>
    <w:rsid w:val="007374C6"/>
    <w:rsid w:val="00740A08"/>
    <w:rsid w:val="00740EAA"/>
    <w:rsid w:val="00742E01"/>
    <w:rsid w:val="00746B6F"/>
    <w:rsid w:val="00760B6B"/>
    <w:rsid w:val="00766F93"/>
    <w:rsid w:val="00775846"/>
    <w:rsid w:val="00777514"/>
    <w:rsid w:val="00782BEA"/>
    <w:rsid w:val="0078434F"/>
    <w:rsid w:val="00784A44"/>
    <w:rsid w:val="00790BB9"/>
    <w:rsid w:val="00792D0B"/>
    <w:rsid w:val="00797391"/>
    <w:rsid w:val="007A1EE0"/>
    <w:rsid w:val="007A222D"/>
    <w:rsid w:val="007A3387"/>
    <w:rsid w:val="007A5E15"/>
    <w:rsid w:val="007B293C"/>
    <w:rsid w:val="007B56E9"/>
    <w:rsid w:val="007B5D05"/>
    <w:rsid w:val="007B65EB"/>
    <w:rsid w:val="007C43D1"/>
    <w:rsid w:val="007C50FF"/>
    <w:rsid w:val="007D240C"/>
    <w:rsid w:val="007D3DB4"/>
    <w:rsid w:val="007E26D1"/>
    <w:rsid w:val="007F3903"/>
    <w:rsid w:val="00802F19"/>
    <w:rsid w:val="00803974"/>
    <w:rsid w:val="008075DE"/>
    <w:rsid w:val="008076F2"/>
    <w:rsid w:val="008177C1"/>
    <w:rsid w:val="00824808"/>
    <w:rsid w:val="00825873"/>
    <w:rsid w:val="00835B4B"/>
    <w:rsid w:val="00847A48"/>
    <w:rsid w:val="0085106C"/>
    <w:rsid w:val="008548EA"/>
    <w:rsid w:val="00854933"/>
    <w:rsid w:val="008633E4"/>
    <w:rsid w:val="00870677"/>
    <w:rsid w:val="00875DB2"/>
    <w:rsid w:val="00877474"/>
    <w:rsid w:val="00891F46"/>
    <w:rsid w:val="00892246"/>
    <w:rsid w:val="00892C1B"/>
    <w:rsid w:val="0089770A"/>
    <w:rsid w:val="008B2153"/>
    <w:rsid w:val="008B5DDB"/>
    <w:rsid w:val="008C6180"/>
    <w:rsid w:val="008E301D"/>
    <w:rsid w:val="008E514E"/>
    <w:rsid w:val="008F5D84"/>
    <w:rsid w:val="008F771C"/>
    <w:rsid w:val="00903951"/>
    <w:rsid w:val="009044D2"/>
    <w:rsid w:val="00904988"/>
    <w:rsid w:val="00905057"/>
    <w:rsid w:val="00912C39"/>
    <w:rsid w:val="009162CF"/>
    <w:rsid w:val="0092008A"/>
    <w:rsid w:val="00931AF3"/>
    <w:rsid w:val="00934AAD"/>
    <w:rsid w:val="009414B5"/>
    <w:rsid w:val="00941E41"/>
    <w:rsid w:val="009441F5"/>
    <w:rsid w:val="009448F4"/>
    <w:rsid w:val="0094712B"/>
    <w:rsid w:val="00950BB1"/>
    <w:rsid w:val="00960199"/>
    <w:rsid w:val="00961263"/>
    <w:rsid w:val="0096164F"/>
    <w:rsid w:val="0096590A"/>
    <w:rsid w:val="009752E2"/>
    <w:rsid w:val="00977816"/>
    <w:rsid w:val="00977F1D"/>
    <w:rsid w:val="00981E85"/>
    <w:rsid w:val="0099316A"/>
    <w:rsid w:val="00994658"/>
    <w:rsid w:val="009956A1"/>
    <w:rsid w:val="00997D2E"/>
    <w:rsid w:val="009B5738"/>
    <w:rsid w:val="009B5A69"/>
    <w:rsid w:val="009C0215"/>
    <w:rsid w:val="009C4E81"/>
    <w:rsid w:val="009C60B1"/>
    <w:rsid w:val="009D20CF"/>
    <w:rsid w:val="009D663A"/>
    <w:rsid w:val="009E1A74"/>
    <w:rsid w:val="009E30E3"/>
    <w:rsid w:val="009E5315"/>
    <w:rsid w:val="009E7BA4"/>
    <w:rsid w:val="009F5992"/>
    <w:rsid w:val="009F659F"/>
    <w:rsid w:val="009F7481"/>
    <w:rsid w:val="009F793A"/>
    <w:rsid w:val="00A05B7A"/>
    <w:rsid w:val="00A14692"/>
    <w:rsid w:val="00A15574"/>
    <w:rsid w:val="00A1563E"/>
    <w:rsid w:val="00A15674"/>
    <w:rsid w:val="00A22161"/>
    <w:rsid w:val="00A23711"/>
    <w:rsid w:val="00A27F4E"/>
    <w:rsid w:val="00A30A51"/>
    <w:rsid w:val="00A334E3"/>
    <w:rsid w:val="00A34C09"/>
    <w:rsid w:val="00A42280"/>
    <w:rsid w:val="00A47AF4"/>
    <w:rsid w:val="00A5020C"/>
    <w:rsid w:val="00A5129F"/>
    <w:rsid w:val="00A5263A"/>
    <w:rsid w:val="00A628C7"/>
    <w:rsid w:val="00A62A6D"/>
    <w:rsid w:val="00A62E8B"/>
    <w:rsid w:val="00A671B7"/>
    <w:rsid w:val="00A72117"/>
    <w:rsid w:val="00A75FAD"/>
    <w:rsid w:val="00A8115D"/>
    <w:rsid w:val="00A87786"/>
    <w:rsid w:val="00A90441"/>
    <w:rsid w:val="00A91960"/>
    <w:rsid w:val="00A9700E"/>
    <w:rsid w:val="00AA6DE7"/>
    <w:rsid w:val="00AA78A7"/>
    <w:rsid w:val="00AC59B1"/>
    <w:rsid w:val="00AC70D7"/>
    <w:rsid w:val="00AE3DF6"/>
    <w:rsid w:val="00AF09A3"/>
    <w:rsid w:val="00AF65F5"/>
    <w:rsid w:val="00B03C47"/>
    <w:rsid w:val="00B03DBC"/>
    <w:rsid w:val="00B0557B"/>
    <w:rsid w:val="00B11B5D"/>
    <w:rsid w:val="00B12E0C"/>
    <w:rsid w:val="00B16CC6"/>
    <w:rsid w:val="00B23620"/>
    <w:rsid w:val="00B314C9"/>
    <w:rsid w:val="00B32DF5"/>
    <w:rsid w:val="00B34023"/>
    <w:rsid w:val="00B34DF6"/>
    <w:rsid w:val="00B356B4"/>
    <w:rsid w:val="00B47707"/>
    <w:rsid w:val="00B521C8"/>
    <w:rsid w:val="00B53FF2"/>
    <w:rsid w:val="00B66D0D"/>
    <w:rsid w:val="00B70E8C"/>
    <w:rsid w:val="00B747A9"/>
    <w:rsid w:val="00B77ECA"/>
    <w:rsid w:val="00B93456"/>
    <w:rsid w:val="00B93AFE"/>
    <w:rsid w:val="00B95ED5"/>
    <w:rsid w:val="00B96D69"/>
    <w:rsid w:val="00B9790E"/>
    <w:rsid w:val="00BA15A6"/>
    <w:rsid w:val="00BA16DE"/>
    <w:rsid w:val="00BB0914"/>
    <w:rsid w:val="00BB73A3"/>
    <w:rsid w:val="00BC4539"/>
    <w:rsid w:val="00BC6DF6"/>
    <w:rsid w:val="00BC6F8F"/>
    <w:rsid w:val="00BE0B0D"/>
    <w:rsid w:val="00BE16FA"/>
    <w:rsid w:val="00BE1ACC"/>
    <w:rsid w:val="00C0257C"/>
    <w:rsid w:val="00C05ABD"/>
    <w:rsid w:val="00C13D8E"/>
    <w:rsid w:val="00C21627"/>
    <w:rsid w:val="00C2353D"/>
    <w:rsid w:val="00C237B3"/>
    <w:rsid w:val="00C276DF"/>
    <w:rsid w:val="00C31C91"/>
    <w:rsid w:val="00C3205C"/>
    <w:rsid w:val="00C60B36"/>
    <w:rsid w:val="00C62FBD"/>
    <w:rsid w:val="00C643ED"/>
    <w:rsid w:val="00C65739"/>
    <w:rsid w:val="00C66714"/>
    <w:rsid w:val="00C71382"/>
    <w:rsid w:val="00C73218"/>
    <w:rsid w:val="00C74EFC"/>
    <w:rsid w:val="00C76255"/>
    <w:rsid w:val="00C82699"/>
    <w:rsid w:val="00C845FB"/>
    <w:rsid w:val="00C87C48"/>
    <w:rsid w:val="00C9271F"/>
    <w:rsid w:val="00C94290"/>
    <w:rsid w:val="00CA10E3"/>
    <w:rsid w:val="00CA4E34"/>
    <w:rsid w:val="00CA73AB"/>
    <w:rsid w:val="00CA7E6E"/>
    <w:rsid w:val="00CB1630"/>
    <w:rsid w:val="00CB2384"/>
    <w:rsid w:val="00CB6F0B"/>
    <w:rsid w:val="00CB708B"/>
    <w:rsid w:val="00CC1544"/>
    <w:rsid w:val="00CC253A"/>
    <w:rsid w:val="00CC25BB"/>
    <w:rsid w:val="00CD50A9"/>
    <w:rsid w:val="00CD6090"/>
    <w:rsid w:val="00CD73D2"/>
    <w:rsid w:val="00CD73DF"/>
    <w:rsid w:val="00CE5C09"/>
    <w:rsid w:val="00CE5DF6"/>
    <w:rsid w:val="00CF1DE8"/>
    <w:rsid w:val="00D0024B"/>
    <w:rsid w:val="00D00D67"/>
    <w:rsid w:val="00D033F5"/>
    <w:rsid w:val="00D04567"/>
    <w:rsid w:val="00D0612F"/>
    <w:rsid w:val="00D06E02"/>
    <w:rsid w:val="00D13998"/>
    <w:rsid w:val="00D1439D"/>
    <w:rsid w:val="00D16DF0"/>
    <w:rsid w:val="00D20661"/>
    <w:rsid w:val="00D30995"/>
    <w:rsid w:val="00D44F42"/>
    <w:rsid w:val="00D479C0"/>
    <w:rsid w:val="00D54A62"/>
    <w:rsid w:val="00D54D2F"/>
    <w:rsid w:val="00D568A8"/>
    <w:rsid w:val="00D6247D"/>
    <w:rsid w:val="00D70333"/>
    <w:rsid w:val="00D70354"/>
    <w:rsid w:val="00D711C3"/>
    <w:rsid w:val="00D73A5F"/>
    <w:rsid w:val="00D76AA4"/>
    <w:rsid w:val="00D8396E"/>
    <w:rsid w:val="00D8465B"/>
    <w:rsid w:val="00D852E7"/>
    <w:rsid w:val="00D95075"/>
    <w:rsid w:val="00D977A0"/>
    <w:rsid w:val="00DA0303"/>
    <w:rsid w:val="00DA3E06"/>
    <w:rsid w:val="00DA7B61"/>
    <w:rsid w:val="00DB4992"/>
    <w:rsid w:val="00DB52E6"/>
    <w:rsid w:val="00DC6236"/>
    <w:rsid w:val="00DC7E22"/>
    <w:rsid w:val="00DD016F"/>
    <w:rsid w:val="00DD50F0"/>
    <w:rsid w:val="00DE0A3F"/>
    <w:rsid w:val="00DE0F82"/>
    <w:rsid w:val="00DE2C75"/>
    <w:rsid w:val="00DF20CF"/>
    <w:rsid w:val="00E00B0B"/>
    <w:rsid w:val="00E01A29"/>
    <w:rsid w:val="00E03E3D"/>
    <w:rsid w:val="00E10586"/>
    <w:rsid w:val="00E12A57"/>
    <w:rsid w:val="00E1606A"/>
    <w:rsid w:val="00E25E05"/>
    <w:rsid w:val="00E36A55"/>
    <w:rsid w:val="00E42598"/>
    <w:rsid w:val="00E46982"/>
    <w:rsid w:val="00E5070B"/>
    <w:rsid w:val="00E50784"/>
    <w:rsid w:val="00E52E74"/>
    <w:rsid w:val="00E80494"/>
    <w:rsid w:val="00E82766"/>
    <w:rsid w:val="00E86602"/>
    <w:rsid w:val="00E97203"/>
    <w:rsid w:val="00EA3912"/>
    <w:rsid w:val="00EA5C55"/>
    <w:rsid w:val="00EB28CB"/>
    <w:rsid w:val="00EB7CEF"/>
    <w:rsid w:val="00EC17BF"/>
    <w:rsid w:val="00EC2367"/>
    <w:rsid w:val="00ED39D3"/>
    <w:rsid w:val="00ED66A4"/>
    <w:rsid w:val="00ED6BBB"/>
    <w:rsid w:val="00EE07C1"/>
    <w:rsid w:val="00EE0EB0"/>
    <w:rsid w:val="00EE14C7"/>
    <w:rsid w:val="00EE3694"/>
    <w:rsid w:val="00EF43FC"/>
    <w:rsid w:val="00EF57DD"/>
    <w:rsid w:val="00F0378B"/>
    <w:rsid w:val="00F119B9"/>
    <w:rsid w:val="00F128ED"/>
    <w:rsid w:val="00F12AFE"/>
    <w:rsid w:val="00F2425D"/>
    <w:rsid w:val="00F3105C"/>
    <w:rsid w:val="00F338FF"/>
    <w:rsid w:val="00F343F0"/>
    <w:rsid w:val="00F46DF5"/>
    <w:rsid w:val="00F52F3E"/>
    <w:rsid w:val="00F53ABA"/>
    <w:rsid w:val="00F60E4B"/>
    <w:rsid w:val="00F625ED"/>
    <w:rsid w:val="00F659F7"/>
    <w:rsid w:val="00F81267"/>
    <w:rsid w:val="00F83FA4"/>
    <w:rsid w:val="00F854EA"/>
    <w:rsid w:val="00FA365A"/>
    <w:rsid w:val="00FB1B26"/>
    <w:rsid w:val="00FB42DB"/>
    <w:rsid w:val="00FB5662"/>
    <w:rsid w:val="00FC2FCB"/>
    <w:rsid w:val="00FC39BF"/>
    <w:rsid w:val="00FE0898"/>
    <w:rsid w:val="00FE2425"/>
    <w:rsid w:val="00FE4B30"/>
    <w:rsid w:val="00FE738C"/>
    <w:rsid w:val="00FF559B"/>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colormenu v:ext="edit" fillcolor="none [3212]"/>
    </o:shapedefaults>
    <o:shapelayout v:ext="edit">
      <o:idmap v:ext="edit" data="1"/>
    </o:shapelayout>
  </w:shapeDefaults>
  <w:decimalSymbol w:val="."/>
  <w:listSeparator w:val=","/>
  <w14:docId w14:val="1E63A5A9"/>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character" w:customStyle="1" w:styleId="UnresolvedMention1">
    <w:name w:val="Unresolved Mention1"/>
    <w:basedOn w:val="DefaultParagraphFont"/>
    <w:uiPriority w:val="99"/>
    <w:semiHidden/>
    <w:unhideWhenUsed/>
    <w:rsid w:val="003B4DBE"/>
    <w:rPr>
      <w:color w:val="605E5C"/>
      <w:shd w:val="clear" w:color="auto" w:fill="E1DFDD"/>
    </w:rPr>
  </w:style>
  <w:style w:type="paragraph" w:styleId="Caption">
    <w:name w:val="caption"/>
    <w:basedOn w:val="Normal"/>
    <w:next w:val="Normal"/>
    <w:unhideWhenUsed/>
    <w:qFormat/>
    <w:rsid w:val="00A9196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20https:/www.ulsystem.edu/wp-content/uploads/2024/10/FB-IV.3-Students-with-Debt-Policy-updated-2024-final.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services.ulm.edu/policies/download-policy/31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307BCD-2839-4DF8-A4C6-9D9243D10FC4}">
  <ds:schemaRefs>
    <ds:schemaRef ds:uri="http://schemas.microsoft.com/sharepoint/v3/contenttype/forms"/>
  </ds:schemaRefs>
</ds:datastoreItem>
</file>

<file path=customXml/itemProps2.xml><?xml version="1.0" encoding="utf-8"?>
<ds:datastoreItem xmlns:ds="http://schemas.openxmlformats.org/officeDocument/2006/customXml" ds:itemID="{6B135790-2094-4F25-962F-5557926C047E}">
  <ds:schemaRefs>
    <ds:schemaRef ds:uri="http://schemas.openxmlformats.org/officeDocument/2006/bibliography"/>
  </ds:schemaRefs>
</ds:datastoreItem>
</file>

<file path=customXml/itemProps3.xml><?xml version="1.0" encoding="utf-8"?>
<ds:datastoreItem xmlns:ds="http://schemas.openxmlformats.org/officeDocument/2006/customXml" ds:itemID="{1E7B98DD-977A-41AF-845E-B6D8BF57F858}">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4.xml><?xml version="1.0" encoding="utf-8"?>
<ds:datastoreItem xmlns:ds="http://schemas.openxmlformats.org/officeDocument/2006/customXml" ds:itemID="{96D15F12-605A-4184-BBF1-939AAD5DC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1236</Words>
  <Characters>7051</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8271</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6</cp:revision>
  <cp:lastPrinted>2020-10-08T14:07:00Z</cp:lastPrinted>
  <dcterms:created xsi:type="dcterms:W3CDTF">2026-04-02T18:24:00Z</dcterms:created>
  <dcterms:modified xsi:type="dcterms:W3CDTF">2026-04-02T18:54:00Z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ies>
</file>