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BA810" w14:textId="32EAFCF1" w:rsidR="00587CF4" w:rsidRPr="00587CF4" w:rsidRDefault="00587CF4" w:rsidP="00587CF4">
      <w:pPr>
        <w:pStyle w:val="Caption"/>
        <w:keepNext/>
        <w:rPr>
          <w:rFonts w:asciiTheme="minorHAnsi" w:hAnsiTheme="minorHAnsi" w:cstheme="minorHAnsi"/>
        </w:rPr>
      </w:pPr>
    </w:p>
    <w:tbl>
      <w:tblPr>
        <w:tblpPr w:leftFromText="180" w:rightFromText="180" w:vertAnchor="page" w:horzAnchor="margin" w:tblpXSpec="center" w:tblpY="312"/>
        <w:tblW w:w="11448" w:type="dxa"/>
        <w:tblBorders>
          <w:top w:val="threeDEngrave" w:sz="24" w:space="0" w:color="auto"/>
          <w:bottom w:val="threeDEmboss" w:sz="24" w:space="0" w:color="auto"/>
        </w:tblBorders>
        <w:tblLook w:val="04A0" w:firstRow="1" w:lastRow="0" w:firstColumn="1" w:lastColumn="0" w:noHBand="0" w:noVBand="1"/>
      </w:tblPr>
      <w:tblGrid>
        <w:gridCol w:w="2413"/>
        <w:gridCol w:w="4584"/>
        <w:gridCol w:w="4451"/>
      </w:tblGrid>
      <w:tr w:rsidR="00EB28CB" w:rsidRPr="00065E93" w14:paraId="235E57E0" w14:textId="77777777" w:rsidTr="00587CF4">
        <w:trPr>
          <w:trHeight w:val="1953"/>
        </w:trPr>
        <w:tc>
          <w:tcPr>
            <w:tcW w:w="2413" w:type="dxa"/>
            <w:shd w:val="clear" w:color="auto" w:fill="auto"/>
          </w:tcPr>
          <w:p w14:paraId="5D78DB26" w14:textId="77777777" w:rsidR="003151C5" w:rsidRPr="003151C5" w:rsidRDefault="00EB28CB" w:rsidP="003151C5">
            <w:pPr>
              <w:ind w:right="-112"/>
              <w:jc w:val="center"/>
            </w:pPr>
            <w:r>
              <w:rPr>
                <w:noProof/>
              </w:rPr>
              <w:drawing>
                <wp:inline distT="0" distB="0" distL="0" distR="0" wp14:anchorId="2AB01991" wp14:editId="1BF9655D">
                  <wp:extent cx="1060704" cy="1060704"/>
                  <wp:effectExtent l="0" t="0" r="6350" b="6350"/>
                  <wp:docPr id="6" name="Picture 6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0704" cy="10607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84" w:type="dxa"/>
            <w:shd w:val="clear" w:color="auto" w:fill="auto"/>
            <w:vAlign w:val="center"/>
          </w:tcPr>
          <w:p w14:paraId="007C176D" w14:textId="0842B886" w:rsidR="003151C5" w:rsidRPr="006F6044" w:rsidRDefault="00732FBA" w:rsidP="7FC3087F">
            <w:pPr>
              <w:jc w:val="center"/>
              <w:rPr>
                <w:rFonts w:asciiTheme="minorHAnsi" w:hAnsi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/>
                <w:b/>
                <w:bCs/>
                <w:i/>
                <w:iCs/>
                <w:sz w:val="32"/>
                <w:szCs w:val="32"/>
              </w:rPr>
              <w:t>Hiring Faculty W</w:t>
            </w:r>
            <w:r w:rsidR="7F931269" w:rsidRPr="7FC3087F">
              <w:rPr>
                <w:rFonts w:asciiTheme="minorHAnsi" w:hAnsiTheme="minorHAnsi"/>
                <w:b/>
                <w:bCs/>
                <w:i/>
                <w:iCs/>
                <w:sz w:val="32"/>
                <w:szCs w:val="32"/>
              </w:rPr>
              <w:t>ith Remaining D</w:t>
            </w:r>
            <w:r w:rsidR="584547B6" w:rsidRPr="7FC3087F">
              <w:rPr>
                <w:rFonts w:asciiTheme="minorHAnsi" w:hAnsiTheme="minorHAnsi"/>
                <w:b/>
                <w:bCs/>
                <w:i/>
                <w:iCs/>
                <w:sz w:val="32"/>
                <w:szCs w:val="32"/>
              </w:rPr>
              <w:t>issertation Requirements</w:t>
            </w:r>
            <w:r w:rsidR="00B9566B" w:rsidRPr="7FC3087F">
              <w:rPr>
                <w:rFonts w:asciiTheme="minorHAnsi" w:hAnsiTheme="minorHAnsi"/>
                <w:b/>
                <w:bCs/>
                <w:i/>
                <w:iCs/>
                <w:sz w:val="32"/>
                <w:szCs w:val="32"/>
              </w:rPr>
              <w:t xml:space="preserve"> Policy</w:t>
            </w:r>
          </w:p>
          <w:p w14:paraId="339B632D" w14:textId="77777777" w:rsidR="003151C5" w:rsidRPr="006F6044" w:rsidRDefault="003151C5" w:rsidP="003151C5">
            <w:pPr>
              <w:jc w:val="center"/>
              <w:rPr>
                <w:rFonts w:asciiTheme="minorHAnsi" w:hAnsiTheme="minorHAnsi"/>
                <w:i/>
              </w:rPr>
            </w:pPr>
          </w:p>
        </w:tc>
        <w:tc>
          <w:tcPr>
            <w:tcW w:w="4451" w:type="dxa"/>
            <w:shd w:val="clear" w:color="auto" w:fill="auto"/>
            <w:vAlign w:val="center"/>
          </w:tcPr>
          <w:tbl>
            <w:tblPr>
              <w:tblpPr w:leftFromText="187" w:rightFromText="187" w:vertAnchor="text" w:horzAnchor="page" w:tblpX="635" w:tblpY="-1741"/>
              <w:tblOverlap w:val="never"/>
              <w:tblW w:w="42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211"/>
              <w:gridCol w:w="2014"/>
            </w:tblGrid>
            <w:tr w:rsidR="000D5D19" w:rsidRPr="00517994" w14:paraId="783381CC" w14:textId="77777777" w:rsidTr="008D6895">
              <w:trPr>
                <w:trHeight w:val="260"/>
              </w:trPr>
              <w:tc>
                <w:tcPr>
                  <w:tcW w:w="2211" w:type="dxa"/>
                  <w:shd w:val="clear" w:color="auto" w:fill="auto"/>
                  <w:tcMar>
                    <w:left w:w="86" w:type="dxa"/>
                    <w:right w:w="29" w:type="dxa"/>
                  </w:tcMar>
                  <w:vAlign w:val="bottom"/>
                </w:tcPr>
                <w:p w14:paraId="6B388020" w14:textId="77777777" w:rsidR="000D5D19" w:rsidRPr="00517994" w:rsidRDefault="000D5D19" w:rsidP="000D5D19">
                  <w:pPr>
                    <w:rPr>
                      <w:rFonts w:asciiTheme="minorHAnsi" w:hAnsiTheme="minorHAnsi"/>
                      <w:bCs/>
                      <w:sz w:val="20"/>
                      <w:szCs w:val="20"/>
                    </w:rPr>
                  </w:pPr>
                  <w:r w:rsidRPr="00517994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t>Policy #</w:t>
                  </w:r>
                  <w:r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2014" w:type="dxa"/>
                  <w:shd w:val="clear" w:color="auto" w:fill="auto"/>
                  <w:vAlign w:val="bottom"/>
                </w:tcPr>
                <w:p w14:paraId="71983B9A" w14:textId="77777777" w:rsidR="000D5D19" w:rsidRPr="00517994" w:rsidRDefault="009E64FF" w:rsidP="000D5D19">
                  <w:pPr>
                    <w:rPr>
                      <w:rFonts w:asciiTheme="minorHAnsi" w:hAnsiTheme="minorHAnsi"/>
                      <w:bCs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bCs/>
                      <w:sz w:val="20"/>
                      <w:szCs w:val="20"/>
                    </w:rPr>
                    <w:t>AA009</w:t>
                  </w:r>
                  <w:r w:rsidR="00B9566B">
                    <w:rPr>
                      <w:rFonts w:asciiTheme="minorHAnsi" w:hAnsiTheme="minorHAnsi"/>
                      <w:bCs/>
                      <w:sz w:val="20"/>
                      <w:szCs w:val="20"/>
                    </w:rPr>
                    <w:t>.</w:t>
                  </w:r>
                  <w:r>
                    <w:rPr>
                      <w:rFonts w:asciiTheme="minorHAnsi" w:hAnsiTheme="minorHAnsi"/>
                      <w:bCs/>
                      <w:sz w:val="20"/>
                      <w:szCs w:val="20"/>
                    </w:rPr>
                    <w:t>1</w:t>
                  </w:r>
                </w:p>
              </w:tc>
            </w:tr>
            <w:tr w:rsidR="000D5D19" w:rsidRPr="00517994" w14:paraId="00E22188" w14:textId="77777777" w:rsidTr="008D6895">
              <w:trPr>
                <w:trHeight w:val="240"/>
              </w:trPr>
              <w:tc>
                <w:tcPr>
                  <w:tcW w:w="2211" w:type="dxa"/>
                  <w:shd w:val="clear" w:color="auto" w:fill="auto"/>
                  <w:tcMar>
                    <w:left w:w="86" w:type="dxa"/>
                    <w:right w:w="29" w:type="dxa"/>
                  </w:tcMar>
                  <w:vAlign w:val="bottom"/>
                </w:tcPr>
                <w:p w14:paraId="6B075CE1" w14:textId="77777777" w:rsidR="000D5D19" w:rsidRPr="00517994" w:rsidRDefault="000D5D19" w:rsidP="000D5D19">
                  <w:pPr>
                    <w:rPr>
                      <w:rFonts w:asciiTheme="minorHAnsi" w:hAnsiTheme="minorHAnsi"/>
                      <w:bCs/>
                      <w:sz w:val="20"/>
                      <w:szCs w:val="20"/>
                    </w:rPr>
                  </w:pPr>
                  <w:r w:rsidRPr="00517994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t>Policy Type:</w:t>
                  </w:r>
                </w:p>
              </w:tc>
              <w:tc>
                <w:tcPr>
                  <w:tcW w:w="2014" w:type="dxa"/>
                  <w:shd w:val="clear" w:color="auto" w:fill="auto"/>
                  <w:vAlign w:val="bottom"/>
                </w:tcPr>
                <w:p w14:paraId="148301A0" w14:textId="77777777" w:rsidR="000D5D19" w:rsidRPr="00517994" w:rsidRDefault="00B9566B" w:rsidP="000D5D19">
                  <w:pPr>
                    <w:rPr>
                      <w:rFonts w:asciiTheme="minorHAnsi" w:hAnsiTheme="minorHAnsi"/>
                      <w:bCs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bCs/>
                      <w:sz w:val="20"/>
                      <w:szCs w:val="20"/>
                    </w:rPr>
                    <w:t>University</w:t>
                  </w:r>
                </w:p>
              </w:tc>
            </w:tr>
            <w:tr w:rsidR="000D5D19" w:rsidRPr="00517994" w14:paraId="5905AA44" w14:textId="77777777" w:rsidTr="008D6895">
              <w:trPr>
                <w:trHeight w:val="230"/>
              </w:trPr>
              <w:tc>
                <w:tcPr>
                  <w:tcW w:w="2211" w:type="dxa"/>
                  <w:tcBorders>
                    <w:top w:val="nil"/>
                    <w:bottom w:val="nil"/>
                  </w:tcBorders>
                  <w:shd w:val="clear" w:color="auto" w:fill="auto"/>
                  <w:tcMar>
                    <w:left w:w="86" w:type="dxa"/>
                    <w:right w:w="29" w:type="dxa"/>
                  </w:tcMar>
                </w:tcPr>
                <w:p w14:paraId="7E2D200A" w14:textId="77777777" w:rsidR="000D5D19" w:rsidRPr="00517994" w:rsidRDefault="000D5D19" w:rsidP="000D5D19">
                  <w:pPr>
                    <w:widowControl w:val="0"/>
                    <w:rPr>
                      <w:rFonts w:asciiTheme="minorHAnsi" w:hAnsiTheme="minorHAnsi"/>
                      <w:bCs/>
                      <w:sz w:val="20"/>
                      <w:szCs w:val="20"/>
                    </w:rPr>
                  </w:pPr>
                  <w:r w:rsidRPr="00517994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t xml:space="preserve">Responsible Executive:  </w:t>
                  </w:r>
                </w:p>
              </w:tc>
              <w:tc>
                <w:tcPr>
                  <w:tcW w:w="2014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24332456" w14:textId="77777777" w:rsidR="000D5D19" w:rsidRPr="00517994" w:rsidRDefault="00B9566B" w:rsidP="000D5D19">
                  <w:pPr>
                    <w:widowControl w:val="0"/>
                    <w:rPr>
                      <w:rFonts w:asciiTheme="minorHAnsi" w:hAnsiTheme="minorHAnsi"/>
                      <w:bCs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bCs/>
                      <w:sz w:val="20"/>
                      <w:szCs w:val="20"/>
                    </w:rPr>
                    <w:t>Provost</w:t>
                  </w:r>
                </w:p>
              </w:tc>
            </w:tr>
            <w:tr w:rsidR="000D5D19" w:rsidRPr="00517994" w14:paraId="42876FFA" w14:textId="77777777" w:rsidTr="008D6895">
              <w:trPr>
                <w:trHeight w:val="260"/>
              </w:trPr>
              <w:tc>
                <w:tcPr>
                  <w:tcW w:w="2211" w:type="dxa"/>
                  <w:tcBorders>
                    <w:top w:val="nil"/>
                    <w:bottom w:val="nil"/>
                  </w:tcBorders>
                  <w:shd w:val="clear" w:color="auto" w:fill="auto"/>
                  <w:tcMar>
                    <w:left w:w="86" w:type="dxa"/>
                    <w:right w:w="29" w:type="dxa"/>
                  </w:tcMar>
                  <w:vAlign w:val="bottom"/>
                </w:tcPr>
                <w:p w14:paraId="4961E74B" w14:textId="77777777" w:rsidR="000D5D19" w:rsidRPr="00517994" w:rsidRDefault="000D5D19" w:rsidP="000D5D19">
                  <w:pPr>
                    <w:rPr>
                      <w:rFonts w:asciiTheme="minorHAnsi" w:hAnsiTheme="minorHAnsi"/>
                      <w:bCs/>
                      <w:sz w:val="20"/>
                      <w:szCs w:val="20"/>
                    </w:rPr>
                  </w:pPr>
                  <w:r w:rsidRPr="00517994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t xml:space="preserve">Responsible Office:  </w:t>
                  </w:r>
                  <w:r w:rsidRPr="00517994">
                    <w:rPr>
                      <w:rFonts w:asciiTheme="minorHAnsi" w:hAnsiTheme="minorHAnsi"/>
                      <w:bCs/>
                      <w:sz w:val="20"/>
                      <w:szCs w:val="20"/>
                    </w:rPr>
                    <w:t xml:space="preserve">   </w:t>
                  </w:r>
                </w:p>
              </w:tc>
              <w:tc>
                <w:tcPr>
                  <w:tcW w:w="2014" w:type="dxa"/>
                  <w:tcBorders>
                    <w:top w:val="nil"/>
                    <w:bottom w:val="nil"/>
                  </w:tcBorders>
                  <w:shd w:val="clear" w:color="auto" w:fill="auto"/>
                  <w:vAlign w:val="bottom"/>
                </w:tcPr>
                <w:p w14:paraId="4BF2F400" w14:textId="77777777" w:rsidR="000D5D19" w:rsidRPr="00517994" w:rsidRDefault="00B9566B" w:rsidP="000D5D19">
                  <w:pPr>
                    <w:rPr>
                      <w:rFonts w:asciiTheme="minorHAnsi" w:hAnsiTheme="minorHAnsi"/>
                      <w:bCs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bCs/>
                      <w:sz w:val="20"/>
                      <w:szCs w:val="20"/>
                    </w:rPr>
                    <w:t>VPAA</w:t>
                  </w:r>
                </w:p>
              </w:tc>
            </w:tr>
            <w:tr w:rsidR="000D5D19" w:rsidRPr="00517994" w14:paraId="6731B349" w14:textId="77777777" w:rsidTr="008D6895">
              <w:trPr>
                <w:trHeight w:val="260"/>
              </w:trPr>
              <w:tc>
                <w:tcPr>
                  <w:tcW w:w="2211" w:type="dxa"/>
                  <w:tcBorders>
                    <w:top w:val="nil"/>
                  </w:tcBorders>
                  <w:shd w:val="clear" w:color="auto" w:fill="auto"/>
                  <w:tcMar>
                    <w:left w:w="86" w:type="dxa"/>
                    <w:right w:w="29" w:type="dxa"/>
                  </w:tcMar>
                  <w:vAlign w:val="bottom"/>
                </w:tcPr>
                <w:p w14:paraId="60DFAAB3" w14:textId="77777777" w:rsidR="000D5D19" w:rsidRPr="00517994" w:rsidRDefault="000D5D19" w:rsidP="000D5D19">
                  <w:pPr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</w:pPr>
                  <w:r w:rsidRPr="00517994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t>Originally Issued:</w:t>
                  </w:r>
                </w:p>
              </w:tc>
              <w:tc>
                <w:tcPr>
                  <w:tcW w:w="2014" w:type="dxa"/>
                  <w:tcBorders>
                    <w:top w:val="nil"/>
                  </w:tcBorders>
                  <w:shd w:val="clear" w:color="auto" w:fill="auto"/>
                  <w:vAlign w:val="bottom"/>
                </w:tcPr>
                <w:p w14:paraId="7FA48FE8" w14:textId="60542C52" w:rsidR="000D5D19" w:rsidRPr="00517994" w:rsidRDefault="001F10F9" w:rsidP="000D5D19">
                  <w:pPr>
                    <w:rPr>
                      <w:rFonts w:asciiTheme="minorHAnsi" w:hAnsiTheme="minorHAnsi"/>
                      <w:bCs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bCs/>
                      <w:sz w:val="20"/>
                      <w:szCs w:val="20"/>
                    </w:rPr>
                    <w:t>June 25, 2024</w:t>
                  </w:r>
                </w:p>
              </w:tc>
            </w:tr>
            <w:tr w:rsidR="000D5D19" w:rsidRPr="00517994" w14:paraId="72478FB4" w14:textId="77777777" w:rsidTr="008D6895">
              <w:trPr>
                <w:trHeight w:val="260"/>
              </w:trPr>
              <w:tc>
                <w:tcPr>
                  <w:tcW w:w="2211" w:type="dxa"/>
                  <w:shd w:val="clear" w:color="auto" w:fill="auto"/>
                  <w:tcMar>
                    <w:left w:w="86" w:type="dxa"/>
                    <w:right w:w="29" w:type="dxa"/>
                  </w:tcMar>
                  <w:vAlign w:val="bottom"/>
                </w:tcPr>
                <w:p w14:paraId="78B7E908" w14:textId="77777777" w:rsidR="000D5D19" w:rsidRPr="00517994" w:rsidRDefault="000D5D19" w:rsidP="000D5D19">
                  <w:pPr>
                    <w:tabs>
                      <w:tab w:val="left" w:pos="1867"/>
                    </w:tabs>
                    <w:ind w:right="-853"/>
                    <w:rPr>
                      <w:rFonts w:asciiTheme="minorHAnsi" w:hAnsiTheme="minorHAnsi"/>
                      <w:bCs/>
                      <w:sz w:val="20"/>
                      <w:szCs w:val="20"/>
                    </w:rPr>
                  </w:pPr>
                  <w:r w:rsidRPr="00517994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t>Latest Revision:</w:t>
                  </w:r>
                </w:p>
              </w:tc>
              <w:tc>
                <w:tcPr>
                  <w:tcW w:w="2014" w:type="dxa"/>
                  <w:shd w:val="clear" w:color="auto" w:fill="auto"/>
                  <w:vAlign w:val="bottom"/>
                </w:tcPr>
                <w:p w14:paraId="4273DF3A" w14:textId="4C9C4C5F" w:rsidR="000D5D19" w:rsidRPr="00517994" w:rsidRDefault="001F10F9" w:rsidP="000D5D19">
                  <w:pPr>
                    <w:tabs>
                      <w:tab w:val="left" w:pos="1867"/>
                    </w:tabs>
                    <w:ind w:right="-853"/>
                    <w:rPr>
                      <w:rFonts w:asciiTheme="minorHAnsi" w:hAnsiTheme="minorHAnsi"/>
                      <w:bCs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bCs/>
                      <w:sz w:val="20"/>
                      <w:szCs w:val="20"/>
                    </w:rPr>
                    <w:t>June 25, 2024</w:t>
                  </w:r>
                </w:p>
              </w:tc>
            </w:tr>
            <w:tr w:rsidR="000D5D19" w:rsidRPr="00517994" w14:paraId="2AA94DC3" w14:textId="77777777" w:rsidTr="008D6895">
              <w:trPr>
                <w:trHeight w:val="260"/>
              </w:trPr>
              <w:tc>
                <w:tcPr>
                  <w:tcW w:w="2211" w:type="dxa"/>
                  <w:shd w:val="clear" w:color="auto" w:fill="auto"/>
                  <w:tcMar>
                    <w:left w:w="86" w:type="dxa"/>
                    <w:right w:w="29" w:type="dxa"/>
                  </w:tcMar>
                  <w:vAlign w:val="bottom"/>
                </w:tcPr>
                <w:p w14:paraId="3E60F237" w14:textId="77777777" w:rsidR="000D5D19" w:rsidRPr="00517994" w:rsidRDefault="000D5D19" w:rsidP="000D5D19">
                  <w:pPr>
                    <w:tabs>
                      <w:tab w:val="left" w:pos="1867"/>
                    </w:tabs>
                    <w:ind w:right="-853"/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</w:pPr>
                  <w:r w:rsidRPr="00517994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t>Effective Date:</w:t>
                  </w:r>
                </w:p>
              </w:tc>
              <w:tc>
                <w:tcPr>
                  <w:tcW w:w="2014" w:type="dxa"/>
                  <w:shd w:val="clear" w:color="auto" w:fill="auto"/>
                  <w:vAlign w:val="bottom"/>
                </w:tcPr>
                <w:p w14:paraId="2838EB58" w14:textId="32B7C028" w:rsidR="000D5D19" w:rsidRPr="00517994" w:rsidRDefault="001F10F9" w:rsidP="000D5D19">
                  <w:pPr>
                    <w:tabs>
                      <w:tab w:val="left" w:pos="1867"/>
                    </w:tabs>
                    <w:ind w:right="-853"/>
                    <w:rPr>
                      <w:rFonts w:asciiTheme="minorHAnsi" w:hAnsiTheme="minorHAnsi"/>
                      <w:bCs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bCs/>
                      <w:sz w:val="20"/>
                      <w:szCs w:val="20"/>
                    </w:rPr>
                    <w:t>July 1,</w:t>
                  </w:r>
                  <w:r w:rsidR="009E64FF">
                    <w:rPr>
                      <w:rFonts w:asciiTheme="minorHAnsi" w:hAnsiTheme="minorHAnsi"/>
                      <w:bCs/>
                      <w:sz w:val="20"/>
                      <w:szCs w:val="20"/>
                    </w:rPr>
                    <w:t xml:space="preserve"> 202</w:t>
                  </w:r>
                  <w:r>
                    <w:rPr>
                      <w:rFonts w:asciiTheme="minorHAnsi" w:hAnsiTheme="minorHAnsi"/>
                      <w:bCs/>
                      <w:sz w:val="20"/>
                      <w:szCs w:val="20"/>
                    </w:rPr>
                    <w:t>4</w:t>
                  </w:r>
                </w:p>
              </w:tc>
            </w:tr>
          </w:tbl>
          <w:p w14:paraId="3C18ED8F" w14:textId="77777777" w:rsidR="003151C5" w:rsidRPr="006F6044" w:rsidRDefault="003151C5" w:rsidP="003151C5">
            <w:pPr>
              <w:rPr>
                <w:rFonts w:asciiTheme="minorHAnsi" w:hAnsiTheme="minorHAnsi"/>
                <w:b/>
                <w:sz w:val="20"/>
              </w:rPr>
            </w:pPr>
          </w:p>
        </w:tc>
      </w:tr>
    </w:tbl>
    <w:p w14:paraId="755DE671" w14:textId="269F5D71" w:rsidR="001518A1" w:rsidRPr="00D70333" w:rsidRDefault="00377D6C" w:rsidP="00377D6C">
      <w:pPr>
        <w:pStyle w:val="Heading1"/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shd w:val="clear" w:color="auto" w:fill="740027"/>
        <w:tabs>
          <w:tab w:val="left" w:pos="720"/>
          <w:tab w:val="left" w:pos="1440"/>
          <w:tab w:val="left" w:pos="2160"/>
          <w:tab w:val="center" w:pos="5040"/>
        </w:tabs>
        <w:rPr>
          <w:rFonts w:asciiTheme="minorHAnsi" w:hAnsiTheme="minorHAnsi"/>
          <w:color w:val="FFFFFF" w:themeColor="background1"/>
          <w:u w:val="single"/>
        </w:rPr>
      </w:pPr>
      <w:bookmarkStart w:id="0" w:name="_I._Policy_Statement"/>
      <w:bookmarkEnd w:id="0"/>
      <w:r>
        <w:rPr>
          <w:rFonts w:asciiTheme="minorHAnsi" w:hAnsiTheme="minorHAnsi"/>
        </w:rPr>
        <w:t>I.</w:t>
      </w:r>
      <w:r w:rsidR="001518A1" w:rsidRPr="006F6044">
        <w:rPr>
          <w:rFonts w:asciiTheme="minorHAnsi" w:hAnsiTheme="minorHAnsi"/>
        </w:rPr>
        <w:tab/>
        <w:t>Policy Statement</w:t>
      </w:r>
      <w:r w:rsidR="00892246">
        <w:rPr>
          <w:rFonts w:asciiTheme="minorHAnsi" w:hAnsiTheme="minorHAnsi"/>
        </w:rPr>
        <w:tab/>
      </w:r>
    </w:p>
    <w:p w14:paraId="2E5E747D" w14:textId="4BFE6782" w:rsidR="005949FB" w:rsidRPr="009E64FF" w:rsidRDefault="4FC35471" w:rsidP="74D69B6D">
      <w:pPr>
        <w:spacing w:before="120"/>
        <w:rPr>
          <w:rFonts w:asciiTheme="minorHAnsi" w:hAnsiTheme="minorHAnsi" w:cstheme="minorBidi"/>
        </w:rPr>
      </w:pPr>
      <w:r w:rsidRPr="74D69B6D">
        <w:rPr>
          <w:rFonts w:asciiTheme="minorHAnsi" w:hAnsiTheme="minorHAnsi" w:cstheme="minorBidi"/>
        </w:rPr>
        <w:t>Most faculty positions at a university will require possession of a terminal or advanced degree</w:t>
      </w:r>
      <w:r w:rsidR="13CD9C21" w:rsidRPr="74D69B6D">
        <w:rPr>
          <w:rFonts w:asciiTheme="minorHAnsi" w:hAnsiTheme="minorHAnsi" w:cstheme="minorBidi"/>
        </w:rPr>
        <w:t xml:space="preserve">. </w:t>
      </w:r>
      <w:r w:rsidR="00B9566B" w:rsidRPr="74D69B6D">
        <w:rPr>
          <w:rFonts w:asciiTheme="minorHAnsi" w:hAnsiTheme="minorHAnsi" w:cstheme="minorBidi"/>
        </w:rPr>
        <w:t xml:space="preserve">Due to the </w:t>
      </w:r>
      <w:r w:rsidR="045872D6" w:rsidRPr="74D69B6D">
        <w:rPr>
          <w:rFonts w:asciiTheme="minorHAnsi" w:hAnsiTheme="minorHAnsi" w:cstheme="minorBidi"/>
        </w:rPr>
        <w:t>timing of the search</w:t>
      </w:r>
      <w:r w:rsidR="00B9566B" w:rsidRPr="74D69B6D">
        <w:rPr>
          <w:rFonts w:asciiTheme="minorHAnsi" w:hAnsiTheme="minorHAnsi" w:cstheme="minorBidi"/>
        </w:rPr>
        <w:t xml:space="preserve">, </w:t>
      </w:r>
      <w:r w:rsidR="097EF77F" w:rsidRPr="74D69B6D">
        <w:rPr>
          <w:rFonts w:asciiTheme="minorHAnsi" w:hAnsiTheme="minorHAnsi" w:cstheme="minorBidi"/>
        </w:rPr>
        <w:t xml:space="preserve">some </w:t>
      </w:r>
      <w:r w:rsidR="00B9566B" w:rsidRPr="74D69B6D">
        <w:rPr>
          <w:rFonts w:asciiTheme="minorHAnsi" w:hAnsiTheme="minorHAnsi" w:cstheme="minorBidi"/>
        </w:rPr>
        <w:t>hiring decisions are made on tenure-track lines before the future faculty member has received the</w:t>
      </w:r>
      <w:r w:rsidR="0F74D2FD" w:rsidRPr="74D69B6D">
        <w:rPr>
          <w:rFonts w:asciiTheme="minorHAnsi" w:hAnsiTheme="minorHAnsi" w:cstheme="minorBidi"/>
        </w:rPr>
        <w:t xml:space="preserve"> expected</w:t>
      </w:r>
      <w:r w:rsidR="00B9566B" w:rsidRPr="74D69B6D">
        <w:rPr>
          <w:rFonts w:asciiTheme="minorHAnsi" w:hAnsiTheme="minorHAnsi" w:cstheme="minorBidi"/>
        </w:rPr>
        <w:t xml:space="preserve"> degree</w:t>
      </w:r>
      <w:r w:rsidR="4F4652AD" w:rsidRPr="74D69B6D">
        <w:rPr>
          <w:rFonts w:asciiTheme="minorHAnsi" w:hAnsiTheme="minorHAnsi" w:cstheme="minorBidi"/>
        </w:rPr>
        <w:t xml:space="preserve">. </w:t>
      </w:r>
      <w:r w:rsidR="00B9566B" w:rsidRPr="74D69B6D">
        <w:rPr>
          <w:rFonts w:asciiTheme="minorHAnsi" w:hAnsiTheme="minorHAnsi" w:cstheme="minorBidi"/>
        </w:rPr>
        <w:t xml:space="preserve">This policy covers how hiring will proceed when the successful candidate </w:t>
      </w:r>
      <w:r w:rsidR="5B19544B" w:rsidRPr="74D69B6D">
        <w:rPr>
          <w:rFonts w:asciiTheme="minorHAnsi" w:hAnsiTheme="minorHAnsi" w:cstheme="minorBidi"/>
        </w:rPr>
        <w:t>has remaining degree requirements that should be fulfilled</w:t>
      </w:r>
      <w:r w:rsidR="00B9566B" w:rsidRPr="74D69B6D">
        <w:rPr>
          <w:rFonts w:asciiTheme="minorHAnsi" w:hAnsiTheme="minorHAnsi" w:cstheme="minorBidi"/>
        </w:rPr>
        <w:t>.</w:t>
      </w:r>
    </w:p>
    <w:p w14:paraId="78A7A790" w14:textId="77777777" w:rsidR="009E64FF" w:rsidRPr="009E64FF" w:rsidRDefault="009E64FF" w:rsidP="009E64FF">
      <w:pPr>
        <w:rPr>
          <w:rFonts w:asciiTheme="minorHAnsi" w:hAnsiTheme="minorHAnsi" w:cstheme="minorHAnsi"/>
        </w:rPr>
      </w:pPr>
    </w:p>
    <w:p w14:paraId="52D43C71" w14:textId="5C0DA4A1" w:rsidR="007D240C" w:rsidRPr="009E64FF" w:rsidRDefault="002372AB" w:rsidP="002372AB">
      <w:pPr>
        <w:pStyle w:val="Heading3"/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shd w:val="clear" w:color="auto" w:fill="740027"/>
        <w:rPr>
          <w:rFonts w:asciiTheme="minorHAnsi" w:hAnsiTheme="minorHAnsi" w:cstheme="minorHAnsi"/>
        </w:rPr>
      </w:pPr>
      <w:bookmarkStart w:id="1" w:name="_II._Purpose_of"/>
      <w:bookmarkEnd w:id="1"/>
      <w:r>
        <w:rPr>
          <w:rFonts w:asciiTheme="minorHAnsi" w:hAnsiTheme="minorHAnsi" w:cstheme="minorHAnsi"/>
        </w:rPr>
        <w:t>II.</w:t>
      </w:r>
      <w:r w:rsidR="007D240C" w:rsidRPr="009E64FF">
        <w:rPr>
          <w:rFonts w:asciiTheme="minorHAnsi" w:hAnsiTheme="minorHAnsi" w:cstheme="minorHAnsi"/>
        </w:rPr>
        <w:tab/>
        <w:t>Purpose of Policy</w:t>
      </w:r>
    </w:p>
    <w:p w14:paraId="59E59131" w14:textId="5BB94235" w:rsidR="52728152" w:rsidRDefault="52728152" w:rsidP="74D69B6D">
      <w:pPr>
        <w:spacing w:before="120" w:after="240" w:line="259" w:lineRule="auto"/>
        <w:rPr>
          <w:rFonts w:asciiTheme="minorHAnsi" w:hAnsiTheme="minorHAnsi" w:cstheme="minorBidi"/>
        </w:rPr>
      </w:pPr>
      <w:r w:rsidRPr="74D69B6D">
        <w:rPr>
          <w:rFonts w:asciiTheme="minorHAnsi" w:hAnsiTheme="minorHAnsi" w:cstheme="minorBidi"/>
        </w:rPr>
        <w:t xml:space="preserve">Opportunities arise during hiring processes to add outstanding faculty that are completing degree requirements. </w:t>
      </w:r>
      <w:r w:rsidR="382B8A4F" w:rsidRPr="74D69B6D">
        <w:rPr>
          <w:rFonts w:asciiTheme="minorHAnsi" w:hAnsiTheme="minorHAnsi" w:cstheme="minorBidi"/>
        </w:rPr>
        <w:t xml:space="preserve">These candidates show promise and potential to contribute to the advancement of the program and university. </w:t>
      </w:r>
      <w:r w:rsidR="1DE4934C" w:rsidRPr="74D69B6D">
        <w:rPr>
          <w:rFonts w:asciiTheme="minorHAnsi" w:hAnsiTheme="minorHAnsi" w:cstheme="minorBidi"/>
        </w:rPr>
        <w:t xml:space="preserve">However, the tenure and tenure-track faculty ranks require specific requirements, e.g., terminal degrees, to maintain their quality and </w:t>
      </w:r>
      <w:r w:rsidR="4D8A483A" w:rsidRPr="74D69B6D">
        <w:rPr>
          <w:rFonts w:asciiTheme="minorHAnsi" w:hAnsiTheme="minorHAnsi" w:cstheme="minorBidi"/>
        </w:rPr>
        <w:t>integrity</w:t>
      </w:r>
      <w:r w:rsidR="2349F5CA" w:rsidRPr="74D69B6D">
        <w:rPr>
          <w:rFonts w:asciiTheme="minorHAnsi" w:hAnsiTheme="minorHAnsi" w:cstheme="minorBidi"/>
        </w:rPr>
        <w:t>. To preserve that system, those new colleagues that are completing the expected requi</w:t>
      </w:r>
      <w:r w:rsidR="0EE56309" w:rsidRPr="74D69B6D">
        <w:rPr>
          <w:rFonts w:asciiTheme="minorHAnsi" w:hAnsiTheme="minorHAnsi" w:cstheme="minorBidi"/>
        </w:rPr>
        <w:t>rements, should not enter the professoriate on a tenure or tenure-track status.</w:t>
      </w:r>
    </w:p>
    <w:p w14:paraId="5F99A9BD" w14:textId="7A226E83" w:rsidR="009C60B1" w:rsidRDefault="00AD12A0" w:rsidP="74D69B6D">
      <w:pPr>
        <w:spacing w:before="160"/>
        <w:rPr>
          <w:rFonts w:asciiTheme="minorHAnsi" w:hAnsiTheme="minorHAnsi" w:cstheme="minorBidi"/>
        </w:rPr>
      </w:pPr>
      <w:r w:rsidRPr="7FC3087F">
        <w:rPr>
          <w:rFonts w:asciiTheme="minorHAnsi" w:hAnsiTheme="minorHAnsi" w:cstheme="minorBidi"/>
        </w:rPr>
        <w:t xml:space="preserve">The absence of such a degree being awarded </w:t>
      </w:r>
      <w:r w:rsidR="284F484C" w:rsidRPr="7FC3087F">
        <w:rPr>
          <w:rFonts w:asciiTheme="minorHAnsi" w:hAnsiTheme="minorHAnsi" w:cstheme="minorBidi"/>
        </w:rPr>
        <w:t>by</w:t>
      </w:r>
      <w:r w:rsidRPr="7FC3087F">
        <w:rPr>
          <w:rFonts w:asciiTheme="minorHAnsi" w:hAnsiTheme="minorHAnsi" w:cstheme="minorBidi"/>
        </w:rPr>
        <w:t xml:space="preserve"> the first day of employment, however, should not preclude the individual from starting work at ULM. If the only impediment to starting in the tenure-track position is </w:t>
      </w:r>
      <w:r w:rsidR="05C89708" w:rsidRPr="7FC3087F">
        <w:rPr>
          <w:rFonts w:asciiTheme="minorHAnsi" w:hAnsiTheme="minorHAnsi" w:cstheme="minorBidi"/>
        </w:rPr>
        <w:t>completion of the d</w:t>
      </w:r>
      <w:r w:rsidR="5B3B0EF0" w:rsidRPr="7FC3087F">
        <w:rPr>
          <w:rFonts w:asciiTheme="minorHAnsi" w:hAnsiTheme="minorHAnsi" w:cstheme="minorBidi"/>
        </w:rPr>
        <w:t>issertation</w:t>
      </w:r>
      <w:r w:rsidRPr="7FC3087F">
        <w:rPr>
          <w:rFonts w:asciiTheme="minorHAnsi" w:hAnsiTheme="minorHAnsi" w:cstheme="minorBidi"/>
        </w:rPr>
        <w:t xml:space="preserve">, the faculty member can be hired temporarily </w:t>
      </w:r>
      <w:r w:rsidR="4816ACA2" w:rsidRPr="7FC3087F">
        <w:rPr>
          <w:rFonts w:asciiTheme="minorHAnsi" w:hAnsiTheme="minorHAnsi" w:cstheme="minorBidi"/>
        </w:rPr>
        <w:t>with</w:t>
      </w:r>
      <w:r w:rsidRPr="7FC3087F">
        <w:rPr>
          <w:rFonts w:asciiTheme="minorHAnsi" w:hAnsiTheme="minorHAnsi" w:cstheme="minorBidi"/>
        </w:rPr>
        <w:t xml:space="preserve"> </w:t>
      </w:r>
      <w:r w:rsidR="13179F13" w:rsidRPr="7FC3087F">
        <w:rPr>
          <w:rFonts w:asciiTheme="minorHAnsi" w:hAnsiTheme="minorHAnsi" w:cstheme="minorBidi"/>
        </w:rPr>
        <w:t>non-tenure track</w:t>
      </w:r>
      <w:r w:rsidRPr="7FC3087F">
        <w:rPr>
          <w:rFonts w:asciiTheme="minorHAnsi" w:hAnsiTheme="minorHAnsi" w:cstheme="minorBidi"/>
        </w:rPr>
        <w:t xml:space="preserve"> </w:t>
      </w:r>
      <w:r w:rsidR="4F29E676" w:rsidRPr="7FC3087F">
        <w:rPr>
          <w:rFonts w:asciiTheme="minorHAnsi" w:hAnsiTheme="minorHAnsi" w:cstheme="minorBidi"/>
        </w:rPr>
        <w:t xml:space="preserve">status </w:t>
      </w:r>
      <w:r w:rsidRPr="7FC3087F">
        <w:rPr>
          <w:rFonts w:asciiTheme="minorHAnsi" w:hAnsiTheme="minorHAnsi" w:cstheme="minorBidi"/>
        </w:rPr>
        <w:t xml:space="preserve">with a deadline by which the </w:t>
      </w:r>
      <w:r w:rsidR="6B81A004" w:rsidRPr="7FC3087F">
        <w:rPr>
          <w:rFonts w:asciiTheme="minorHAnsi" w:hAnsiTheme="minorHAnsi" w:cstheme="minorBidi"/>
        </w:rPr>
        <w:t>requirements must be completed</w:t>
      </w:r>
      <w:r w:rsidRPr="7FC3087F">
        <w:rPr>
          <w:rFonts w:asciiTheme="minorHAnsi" w:hAnsiTheme="minorHAnsi" w:cstheme="minorBidi"/>
        </w:rPr>
        <w:t xml:space="preserve">. Once the degree is conferred, the faculty member’s contract will be amended to reflect the change </w:t>
      </w:r>
      <w:r w:rsidR="571D0D43" w:rsidRPr="7FC3087F">
        <w:rPr>
          <w:rFonts w:asciiTheme="minorHAnsi" w:hAnsiTheme="minorHAnsi" w:cstheme="minorBidi"/>
        </w:rPr>
        <w:t xml:space="preserve">of </w:t>
      </w:r>
      <w:r w:rsidR="7AF6C94F" w:rsidRPr="7FC3087F">
        <w:rPr>
          <w:rFonts w:asciiTheme="minorHAnsi" w:hAnsiTheme="minorHAnsi" w:cstheme="minorBidi"/>
        </w:rPr>
        <w:t>tenure-track status</w:t>
      </w:r>
      <w:r w:rsidR="571D0D43" w:rsidRPr="7FC3087F">
        <w:rPr>
          <w:rFonts w:asciiTheme="minorHAnsi" w:hAnsiTheme="minorHAnsi" w:cstheme="minorBidi"/>
        </w:rPr>
        <w:t xml:space="preserve"> </w:t>
      </w:r>
      <w:r w:rsidR="30FBE444" w:rsidRPr="7FC3087F">
        <w:rPr>
          <w:rFonts w:asciiTheme="minorHAnsi" w:hAnsiTheme="minorHAnsi" w:cstheme="minorBidi"/>
        </w:rPr>
        <w:t xml:space="preserve">and </w:t>
      </w:r>
      <w:r w:rsidR="571D0D43" w:rsidRPr="7FC3087F">
        <w:rPr>
          <w:rFonts w:asciiTheme="minorHAnsi" w:hAnsiTheme="minorHAnsi" w:cstheme="minorBidi"/>
        </w:rPr>
        <w:t>rank, if necessary</w:t>
      </w:r>
      <w:r w:rsidRPr="7FC3087F">
        <w:rPr>
          <w:rFonts w:asciiTheme="minorHAnsi" w:hAnsiTheme="minorHAnsi" w:cstheme="minorBidi"/>
        </w:rPr>
        <w:t>.</w:t>
      </w:r>
    </w:p>
    <w:p w14:paraId="251194A6" w14:textId="77777777" w:rsidR="009E64FF" w:rsidRPr="009E64FF" w:rsidRDefault="009E64FF" w:rsidP="009E64FF">
      <w:pPr>
        <w:rPr>
          <w:rFonts w:asciiTheme="minorHAnsi" w:hAnsiTheme="minorHAnsi" w:cstheme="minorHAnsi"/>
        </w:rPr>
      </w:pPr>
    </w:p>
    <w:p w14:paraId="2E8067BE" w14:textId="736D6816" w:rsidR="009C60B1" w:rsidRPr="009E64FF" w:rsidRDefault="002372AB" w:rsidP="002372AB">
      <w:pPr>
        <w:pStyle w:val="Heading3"/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shd w:val="clear" w:color="auto" w:fill="740027"/>
        <w:rPr>
          <w:rFonts w:asciiTheme="minorHAnsi" w:hAnsiTheme="minorHAnsi" w:cstheme="minorHAnsi"/>
        </w:rPr>
      </w:pPr>
      <w:bookmarkStart w:id="2" w:name="_III._Applicability"/>
      <w:bookmarkEnd w:id="2"/>
      <w:r>
        <w:rPr>
          <w:rFonts w:asciiTheme="minorHAnsi" w:hAnsiTheme="minorHAnsi" w:cstheme="minorHAnsi"/>
        </w:rPr>
        <w:t>III.</w:t>
      </w:r>
      <w:r w:rsidR="009C60B1" w:rsidRPr="009E64FF">
        <w:rPr>
          <w:rFonts w:asciiTheme="minorHAnsi" w:hAnsiTheme="minorHAnsi" w:cstheme="minorHAnsi"/>
        </w:rPr>
        <w:tab/>
        <w:t>Applicability</w:t>
      </w:r>
    </w:p>
    <w:p w14:paraId="0F18A9C9" w14:textId="5E2B1D94" w:rsidR="00FD6487" w:rsidRPr="009E64FF" w:rsidRDefault="00FD6487" w:rsidP="009E64FF">
      <w:pPr>
        <w:spacing w:before="120" w:after="240"/>
        <w:rPr>
          <w:rFonts w:asciiTheme="minorHAnsi" w:hAnsiTheme="minorHAnsi" w:cstheme="minorHAnsi"/>
        </w:rPr>
      </w:pPr>
      <w:r w:rsidRPr="009E64FF">
        <w:rPr>
          <w:rFonts w:asciiTheme="minorHAnsi" w:hAnsiTheme="minorHAnsi" w:cstheme="minorHAnsi"/>
        </w:rPr>
        <w:t xml:space="preserve">This policy and the associated procedures apply to all faculty being hired on a tenure-track line. </w:t>
      </w:r>
    </w:p>
    <w:p w14:paraId="40363B9E" w14:textId="6AB55BF2" w:rsidR="009C60B1" w:rsidRPr="009E64FF" w:rsidRDefault="00377D6C" w:rsidP="002372AB">
      <w:pPr>
        <w:pStyle w:val="Heading3"/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shd w:val="clear" w:color="auto" w:fill="740027"/>
        <w:rPr>
          <w:rFonts w:asciiTheme="minorHAnsi" w:hAnsiTheme="minorHAnsi" w:cstheme="minorBidi"/>
        </w:rPr>
      </w:pPr>
      <w:bookmarkStart w:id="3" w:name="_IV._Definitions"/>
      <w:bookmarkEnd w:id="3"/>
      <w:r>
        <w:rPr>
          <w:rFonts w:asciiTheme="minorHAnsi" w:hAnsiTheme="minorHAnsi" w:cstheme="minorHAnsi"/>
        </w:rPr>
        <w:t>IV.</w:t>
      </w:r>
      <w:r w:rsidR="009C60B1">
        <w:tab/>
      </w:r>
      <w:r w:rsidR="009C60B1" w:rsidRPr="74D69B6D">
        <w:rPr>
          <w:rFonts w:asciiTheme="minorHAnsi" w:hAnsiTheme="minorHAnsi" w:cstheme="minorBidi"/>
        </w:rPr>
        <w:t>Definitions</w:t>
      </w:r>
    </w:p>
    <w:p w14:paraId="4AB768DA" w14:textId="55C4A0CD" w:rsidR="74D69B6D" w:rsidRDefault="74D69B6D" w:rsidP="74D69B6D"/>
    <w:p w14:paraId="5B40A293" w14:textId="58E84E04" w:rsidR="009C60B1" w:rsidRPr="009E64FF" w:rsidRDefault="00377D6C" w:rsidP="00377D6C">
      <w:pPr>
        <w:pStyle w:val="Heading3"/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shd w:val="clear" w:color="auto" w:fill="740027"/>
        <w:rPr>
          <w:rFonts w:asciiTheme="minorHAnsi" w:hAnsiTheme="minorHAnsi" w:cstheme="minorHAnsi"/>
        </w:rPr>
      </w:pPr>
      <w:bookmarkStart w:id="4" w:name="_V._Policy_Procedure"/>
      <w:bookmarkEnd w:id="4"/>
      <w:r>
        <w:rPr>
          <w:rFonts w:asciiTheme="minorHAnsi" w:hAnsiTheme="minorHAnsi" w:cstheme="minorHAnsi"/>
        </w:rPr>
        <w:t>V.</w:t>
      </w:r>
      <w:r w:rsidR="009C60B1" w:rsidRPr="009E64FF">
        <w:rPr>
          <w:rFonts w:asciiTheme="minorHAnsi" w:hAnsiTheme="minorHAnsi" w:cstheme="minorHAnsi"/>
        </w:rPr>
        <w:tab/>
        <w:t>Policy Procedure</w:t>
      </w:r>
    </w:p>
    <w:p w14:paraId="60D9FBAD" w14:textId="3D96110A" w:rsidR="00FD6487" w:rsidRPr="009E64FF" w:rsidRDefault="00FD6487" w:rsidP="74D69B6D">
      <w:pPr>
        <w:spacing w:before="120" w:after="240"/>
        <w:rPr>
          <w:rFonts w:asciiTheme="minorHAnsi" w:hAnsiTheme="minorHAnsi" w:cstheme="minorBidi"/>
        </w:rPr>
      </w:pPr>
      <w:r w:rsidRPr="7FC3087F">
        <w:rPr>
          <w:rFonts w:asciiTheme="minorHAnsi" w:hAnsiTheme="minorHAnsi" w:cstheme="minorBidi"/>
        </w:rPr>
        <w:t xml:space="preserve">When a new faculty member </w:t>
      </w:r>
      <w:r w:rsidR="23C82E9D" w:rsidRPr="7FC3087F">
        <w:rPr>
          <w:rFonts w:asciiTheme="minorHAnsi" w:hAnsiTheme="minorHAnsi" w:cstheme="minorBidi"/>
        </w:rPr>
        <w:t>without the completed credentials is hired, t</w:t>
      </w:r>
      <w:r w:rsidRPr="7FC3087F">
        <w:rPr>
          <w:rFonts w:asciiTheme="minorHAnsi" w:hAnsiTheme="minorHAnsi" w:cstheme="minorBidi"/>
        </w:rPr>
        <w:t xml:space="preserve">heir contract will be written to reflect </w:t>
      </w:r>
      <w:r w:rsidR="2C67F8DA" w:rsidRPr="7FC3087F">
        <w:rPr>
          <w:rFonts w:asciiTheme="minorHAnsi" w:hAnsiTheme="minorHAnsi" w:cstheme="minorBidi"/>
        </w:rPr>
        <w:t>a non-tenure track statu</w:t>
      </w:r>
      <w:r w:rsidRPr="7FC3087F">
        <w:rPr>
          <w:rFonts w:asciiTheme="minorHAnsi" w:hAnsiTheme="minorHAnsi" w:cstheme="minorBidi"/>
        </w:rPr>
        <w:t>s</w:t>
      </w:r>
      <w:r w:rsidR="3E6065D3" w:rsidRPr="7FC3087F">
        <w:rPr>
          <w:rFonts w:asciiTheme="minorHAnsi" w:hAnsiTheme="minorHAnsi" w:cstheme="minorBidi"/>
        </w:rPr>
        <w:t xml:space="preserve">, unless prior written approval has been obtained </w:t>
      </w:r>
      <w:r w:rsidR="6F6488CD" w:rsidRPr="7FC3087F">
        <w:rPr>
          <w:rFonts w:asciiTheme="minorHAnsi" w:hAnsiTheme="minorHAnsi" w:cstheme="minorBidi"/>
        </w:rPr>
        <w:t xml:space="preserve">for a tenure-track position </w:t>
      </w:r>
      <w:r w:rsidR="73FB8EB0" w:rsidRPr="7FC3087F">
        <w:rPr>
          <w:rFonts w:asciiTheme="minorHAnsi" w:hAnsiTheme="minorHAnsi" w:cstheme="minorBidi"/>
        </w:rPr>
        <w:t>from the Vice President for Academic Affairs</w:t>
      </w:r>
      <w:r w:rsidRPr="7FC3087F">
        <w:rPr>
          <w:rFonts w:asciiTheme="minorHAnsi" w:hAnsiTheme="minorHAnsi" w:cstheme="minorBidi"/>
        </w:rPr>
        <w:t xml:space="preserve">.  Besides the normal language in the contract about working at ULM, the following should be stated: </w:t>
      </w:r>
    </w:p>
    <w:p w14:paraId="2598F96F" w14:textId="69A896CE" w:rsidR="00FD6487" w:rsidRPr="009E64FF" w:rsidRDefault="3BE45283" w:rsidP="74D69B6D">
      <w:pPr>
        <w:pStyle w:val="ListParagraph"/>
        <w:numPr>
          <w:ilvl w:val="0"/>
          <w:numId w:val="31"/>
        </w:numPr>
        <w:spacing w:before="160" w:after="240"/>
        <w:rPr>
          <w:rFonts w:asciiTheme="minorHAnsi" w:hAnsiTheme="minorHAnsi" w:cstheme="minorBidi"/>
          <w:sz w:val="24"/>
          <w:szCs w:val="24"/>
        </w:rPr>
      </w:pPr>
      <w:r w:rsidRPr="47278B74">
        <w:rPr>
          <w:rFonts w:asciiTheme="minorHAnsi" w:hAnsiTheme="minorHAnsi" w:cstheme="minorBidi"/>
          <w:sz w:val="24"/>
          <w:szCs w:val="24"/>
        </w:rPr>
        <w:t>The credentials must be conferred within one calendar year of the first employment date.</w:t>
      </w:r>
      <w:r w:rsidR="00FD6487" w:rsidRPr="47278B74">
        <w:rPr>
          <w:rFonts w:asciiTheme="minorHAnsi" w:hAnsiTheme="minorHAnsi" w:cstheme="minorBidi"/>
          <w:sz w:val="24"/>
          <w:szCs w:val="24"/>
        </w:rPr>
        <w:t xml:space="preserve">  In unusual and extreme cases, this deadline can be extended beyond one year with approval of the Dean and Provost</w:t>
      </w:r>
      <w:r w:rsidR="43F8BA40" w:rsidRPr="47278B74">
        <w:rPr>
          <w:rFonts w:asciiTheme="minorHAnsi" w:hAnsiTheme="minorHAnsi" w:cstheme="minorBidi"/>
          <w:sz w:val="24"/>
          <w:szCs w:val="24"/>
        </w:rPr>
        <w:t xml:space="preserve">.  </w:t>
      </w:r>
      <w:r w:rsidR="00FD6487" w:rsidRPr="47278B74">
        <w:rPr>
          <w:rFonts w:asciiTheme="minorHAnsi" w:hAnsiTheme="minorHAnsi" w:cstheme="minorBidi"/>
          <w:sz w:val="24"/>
          <w:szCs w:val="24"/>
        </w:rPr>
        <w:t xml:space="preserve">Failure to secure the degree by the deadline will result in </w:t>
      </w:r>
      <w:r w:rsidR="14C18ADB" w:rsidRPr="47278B74">
        <w:rPr>
          <w:rFonts w:asciiTheme="minorHAnsi" w:hAnsiTheme="minorHAnsi" w:cstheme="minorBidi"/>
          <w:sz w:val="24"/>
          <w:szCs w:val="24"/>
        </w:rPr>
        <w:t>the following</w:t>
      </w:r>
      <w:r w:rsidR="00FD6487" w:rsidRPr="47278B74">
        <w:rPr>
          <w:rFonts w:asciiTheme="minorHAnsi" w:hAnsiTheme="minorHAnsi" w:cstheme="minorBidi"/>
          <w:sz w:val="24"/>
          <w:szCs w:val="24"/>
        </w:rPr>
        <w:t xml:space="preserve"> year’s contract being a terminal one. </w:t>
      </w:r>
    </w:p>
    <w:p w14:paraId="78A5EC24" w14:textId="6F881D7D" w:rsidR="00FD6487" w:rsidRPr="009E64FF" w:rsidRDefault="00FD6487" w:rsidP="74D69B6D">
      <w:pPr>
        <w:pStyle w:val="ListParagraph"/>
        <w:numPr>
          <w:ilvl w:val="0"/>
          <w:numId w:val="31"/>
        </w:numPr>
        <w:spacing w:before="160" w:after="240"/>
        <w:rPr>
          <w:rFonts w:asciiTheme="minorHAnsi" w:hAnsiTheme="minorHAnsi" w:cstheme="minorBidi"/>
          <w:sz w:val="24"/>
          <w:szCs w:val="24"/>
        </w:rPr>
      </w:pPr>
      <w:r w:rsidRPr="74D69B6D">
        <w:rPr>
          <w:rFonts w:asciiTheme="minorHAnsi" w:hAnsiTheme="minorHAnsi" w:cstheme="minorBidi"/>
          <w:sz w:val="24"/>
          <w:szCs w:val="24"/>
        </w:rPr>
        <w:lastRenderedPageBreak/>
        <w:t xml:space="preserve">Until the degree is awarded, the faculty member will be hired </w:t>
      </w:r>
      <w:r w:rsidR="001B7C28" w:rsidRPr="74D69B6D">
        <w:rPr>
          <w:rFonts w:asciiTheme="minorHAnsi" w:hAnsiTheme="minorHAnsi" w:cstheme="minorBidi"/>
          <w:sz w:val="24"/>
          <w:szCs w:val="24"/>
        </w:rPr>
        <w:t xml:space="preserve">and paid </w:t>
      </w:r>
      <w:r w:rsidRPr="74D69B6D">
        <w:rPr>
          <w:rFonts w:asciiTheme="minorHAnsi" w:hAnsiTheme="minorHAnsi" w:cstheme="minorBidi"/>
          <w:sz w:val="24"/>
          <w:szCs w:val="24"/>
        </w:rPr>
        <w:t xml:space="preserve">at a pay rate </w:t>
      </w:r>
      <w:r w:rsidR="00EF322C" w:rsidRPr="74D69B6D">
        <w:rPr>
          <w:rFonts w:asciiTheme="minorHAnsi" w:hAnsiTheme="minorHAnsi" w:cstheme="minorBidi"/>
          <w:sz w:val="24"/>
          <w:szCs w:val="24"/>
        </w:rPr>
        <w:t xml:space="preserve">of </w:t>
      </w:r>
      <w:r w:rsidR="31CD5B58" w:rsidRPr="74D69B6D">
        <w:rPr>
          <w:rFonts w:asciiTheme="minorHAnsi" w:hAnsiTheme="minorHAnsi" w:cstheme="minorBidi"/>
          <w:sz w:val="24"/>
          <w:szCs w:val="24"/>
        </w:rPr>
        <w:t>the rank awarded</w:t>
      </w:r>
      <w:r w:rsidR="00EF322C" w:rsidRPr="74D69B6D">
        <w:rPr>
          <w:rFonts w:asciiTheme="minorHAnsi" w:hAnsiTheme="minorHAnsi" w:cstheme="minorBidi"/>
          <w:sz w:val="24"/>
          <w:szCs w:val="24"/>
        </w:rPr>
        <w:t>.</w:t>
      </w:r>
      <w:r w:rsidRPr="74D69B6D">
        <w:rPr>
          <w:rFonts w:asciiTheme="minorHAnsi" w:hAnsiTheme="minorHAnsi" w:cstheme="minorBidi"/>
          <w:sz w:val="24"/>
          <w:szCs w:val="24"/>
        </w:rPr>
        <w:t xml:space="preserve"> </w:t>
      </w:r>
    </w:p>
    <w:p w14:paraId="10611299" w14:textId="7B7720D3" w:rsidR="00FD6487" w:rsidRPr="009E64FF" w:rsidRDefault="00FD6487" w:rsidP="74D69B6D">
      <w:pPr>
        <w:pStyle w:val="ListParagraph"/>
        <w:numPr>
          <w:ilvl w:val="0"/>
          <w:numId w:val="31"/>
        </w:numPr>
        <w:spacing w:before="160" w:after="240"/>
        <w:rPr>
          <w:rFonts w:asciiTheme="minorHAnsi" w:hAnsiTheme="minorHAnsi" w:cstheme="minorBidi"/>
          <w:sz w:val="24"/>
          <w:szCs w:val="24"/>
        </w:rPr>
      </w:pPr>
      <w:r w:rsidRPr="70EE046B">
        <w:rPr>
          <w:rFonts w:asciiTheme="minorHAnsi" w:hAnsiTheme="minorHAnsi" w:cstheme="minorBidi"/>
          <w:sz w:val="24"/>
          <w:szCs w:val="24"/>
        </w:rPr>
        <w:t xml:space="preserve">The </w:t>
      </w:r>
      <w:r w:rsidR="1FA1FC70" w:rsidRPr="70EE046B">
        <w:rPr>
          <w:rFonts w:asciiTheme="minorHAnsi" w:hAnsiTheme="minorHAnsi" w:cstheme="minorBidi"/>
          <w:sz w:val="24"/>
          <w:szCs w:val="24"/>
        </w:rPr>
        <w:t xml:space="preserve">first year can count toward </w:t>
      </w:r>
      <w:r w:rsidR="5FB4B7DC" w:rsidRPr="70EE046B">
        <w:rPr>
          <w:rFonts w:asciiTheme="minorHAnsi" w:hAnsiTheme="minorHAnsi" w:cstheme="minorBidi"/>
          <w:sz w:val="24"/>
          <w:szCs w:val="24"/>
        </w:rPr>
        <w:t xml:space="preserve">the </w:t>
      </w:r>
      <w:r w:rsidRPr="70EE046B">
        <w:rPr>
          <w:rFonts w:asciiTheme="minorHAnsi" w:hAnsiTheme="minorHAnsi" w:cstheme="minorBidi"/>
          <w:sz w:val="24"/>
          <w:szCs w:val="24"/>
        </w:rPr>
        <w:t>tenure probationary period for the faculty member</w:t>
      </w:r>
      <w:r w:rsidR="32518D7A" w:rsidRPr="70EE046B">
        <w:rPr>
          <w:rFonts w:asciiTheme="minorHAnsi" w:hAnsiTheme="minorHAnsi" w:cstheme="minorBidi"/>
          <w:sz w:val="24"/>
          <w:szCs w:val="24"/>
        </w:rPr>
        <w:t>.  This will be negotiated upon hire and reflected in the offer letter and contract.</w:t>
      </w:r>
      <w:r w:rsidRPr="70EE046B">
        <w:rPr>
          <w:rFonts w:asciiTheme="minorHAnsi" w:hAnsiTheme="minorHAnsi" w:cstheme="minorBidi"/>
          <w:sz w:val="24"/>
          <w:szCs w:val="24"/>
        </w:rPr>
        <w:t xml:space="preserve"> </w:t>
      </w:r>
    </w:p>
    <w:p w14:paraId="7713323F" w14:textId="74EC0DD7" w:rsidR="009C60B1" w:rsidRPr="009E64FF" w:rsidRDefault="00377D6C" w:rsidP="00377D6C">
      <w:pPr>
        <w:pStyle w:val="Heading3"/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shd w:val="clear" w:color="auto" w:fill="740027"/>
        <w:rPr>
          <w:rFonts w:asciiTheme="minorHAnsi" w:hAnsiTheme="minorHAnsi" w:cstheme="minorHAnsi"/>
        </w:rPr>
      </w:pPr>
      <w:bookmarkStart w:id="5" w:name="_VI._Enforcement"/>
      <w:bookmarkEnd w:id="5"/>
      <w:r>
        <w:rPr>
          <w:rFonts w:asciiTheme="minorHAnsi" w:hAnsiTheme="minorHAnsi" w:cstheme="minorHAnsi"/>
        </w:rPr>
        <w:t>VI.</w:t>
      </w:r>
      <w:r w:rsidR="009C60B1" w:rsidRPr="009E64FF">
        <w:rPr>
          <w:rFonts w:asciiTheme="minorHAnsi" w:hAnsiTheme="minorHAnsi" w:cstheme="minorHAnsi"/>
        </w:rPr>
        <w:tab/>
        <w:t>Enforcement</w:t>
      </w:r>
    </w:p>
    <w:p w14:paraId="367BA3B5" w14:textId="28E1F7E2" w:rsidR="00960199" w:rsidRPr="009E64FF" w:rsidRDefault="00FD6487" w:rsidP="74D69B6D">
      <w:pPr>
        <w:spacing w:before="120" w:after="240"/>
        <w:rPr>
          <w:rFonts w:asciiTheme="minorHAnsi" w:hAnsiTheme="minorHAnsi" w:cstheme="minorBidi"/>
        </w:rPr>
      </w:pPr>
      <w:r w:rsidRPr="74D69B6D">
        <w:rPr>
          <w:rFonts w:asciiTheme="minorHAnsi" w:hAnsiTheme="minorHAnsi" w:cstheme="minorBidi"/>
        </w:rPr>
        <w:t xml:space="preserve">The </w:t>
      </w:r>
      <w:r w:rsidR="001F10F9">
        <w:rPr>
          <w:rFonts w:asciiTheme="minorHAnsi" w:hAnsiTheme="minorHAnsi" w:cstheme="minorBidi"/>
        </w:rPr>
        <w:t>P</w:t>
      </w:r>
      <w:r w:rsidRPr="74D69B6D">
        <w:rPr>
          <w:rFonts w:asciiTheme="minorHAnsi" w:hAnsiTheme="minorHAnsi" w:cstheme="minorBidi"/>
        </w:rPr>
        <w:t>rovost and Director of Human Resources are responsible for the enforcement of this policy.</w:t>
      </w:r>
    </w:p>
    <w:p w14:paraId="4044244E" w14:textId="3F9C7BDA" w:rsidR="009C60B1" w:rsidRPr="009E64FF" w:rsidRDefault="00377D6C" w:rsidP="00377D6C">
      <w:pPr>
        <w:pStyle w:val="Heading3"/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shd w:val="clear" w:color="auto" w:fill="740027"/>
        <w:rPr>
          <w:rFonts w:asciiTheme="minorHAnsi" w:hAnsiTheme="minorHAnsi" w:cstheme="minorHAnsi"/>
        </w:rPr>
      </w:pPr>
      <w:bookmarkStart w:id="6" w:name="_VII._Policy_Management"/>
      <w:bookmarkEnd w:id="6"/>
      <w:r>
        <w:rPr>
          <w:rFonts w:asciiTheme="minorHAnsi" w:hAnsiTheme="minorHAnsi" w:cstheme="minorHAnsi"/>
        </w:rPr>
        <w:t>VII.</w:t>
      </w:r>
      <w:r w:rsidR="009C60B1" w:rsidRPr="009E64FF">
        <w:rPr>
          <w:rFonts w:asciiTheme="minorHAnsi" w:hAnsiTheme="minorHAnsi" w:cstheme="minorHAnsi"/>
        </w:rPr>
        <w:tab/>
        <w:t>Policy Management</w:t>
      </w:r>
    </w:p>
    <w:p w14:paraId="11319E1A" w14:textId="3046243A" w:rsidR="005949FB" w:rsidRPr="009E64FF" w:rsidRDefault="00FD6487" w:rsidP="74D69B6D">
      <w:pPr>
        <w:spacing w:before="120" w:after="240"/>
        <w:rPr>
          <w:rFonts w:asciiTheme="minorHAnsi" w:hAnsiTheme="minorHAnsi" w:cstheme="minorBidi"/>
        </w:rPr>
      </w:pPr>
      <w:r w:rsidRPr="4095625D">
        <w:rPr>
          <w:rFonts w:asciiTheme="minorHAnsi" w:hAnsiTheme="minorHAnsi" w:cstheme="minorBidi"/>
        </w:rPr>
        <w:t xml:space="preserve">The </w:t>
      </w:r>
      <w:r w:rsidR="001F10F9">
        <w:rPr>
          <w:rFonts w:asciiTheme="minorHAnsi" w:hAnsiTheme="minorHAnsi" w:cstheme="minorBidi"/>
        </w:rPr>
        <w:t>P</w:t>
      </w:r>
      <w:r w:rsidR="63E1568A" w:rsidRPr="4095625D">
        <w:rPr>
          <w:rFonts w:asciiTheme="minorHAnsi" w:hAnsiTheme="minorHAnsi" w:cstheme="minorBidi"/>
        </w:rPr>
        <w:t>rovost</w:t>
      </w:r>
      <w:r w:rsidRPr="4095625D">
        <w:rPr>
          <w:rFonts w:asciiTheme="minorHAnsi" w:hAnsiTheme="minorHAnsi" w:cstheme="minorBidi"/>
        </w:rPr>
        <w:t xml:space="preserve"> will be the Responsible Executive for the management of this Policy. The </w:t>
      </w:r>
      <w:r w:rsidR="74732007" w:rsidRPr="4095625D">
        <w:rPr>
          <w:rFonts w:asciiTheme="minorHAnsi" w:hAnsiTheme="minorHAnsi" w:cstheme="minorBidi"/>
        </w:rPr>
        <w:t>P</w:t>
      </w:r>
      <w:r w:rsidR="44970FB5" w:rsidRPr="4095625D">
        <w:rPr>
          <w:rFonts w:asciiTheme="minorHAnsi" w:hAnsiTheme="minorHAnsi" w:cstheme="minorBidi"/>
        </w:rPr>
        <w:t>rovost</w:t>
      </w:r>
      <w:r w:rsidRPr="4095625D">
        <w:rPr>
          <w:rFonts w:asciiTheme="minorHAnsi" w:hAnsiTheme="minorHAnsi" w:cstheme="minorBidi"/>
        </w:rPr>
        <w:t xml:space="preserve"> or his/her designee will be the Responsible Officer in charge of maintaining and disseminating it.</w:t>
      </w:r>
    </w:p>
    <w:p w14:paraId="378B1626" w14:textId="3E08F3DE" w:rsidR="009C60B1" w:rsidRPr="009E64FF" w:rsidRDefault="00377D6C" w:rsidP="00377D6C">
      <w:pPr>
        <w:pStyle w:val="Heading3"/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shd w:val="clear" w:color="auto" w:fill="740027"/>
        <w:rPr>
          <w:rFonts w:asciiTheme="minorHAnsi" w:hAnsiTheme="minorHAnsi" w:cstheme="minorHAnsi"/>
        </w:rPr>
      </w:pPr>
      <w:bookmarkStart w:id="7" w:name="_VIII._Exclusions"/>
      <w:bookmarkEnd w:id="7"/>
      <w:r>
        <w:rPr>
          <w:rFonts w:asciiTheme="minorHAnsi" w:hAnsiTheme="minorHAnsi" w:cstheme="minorHAnsi"/>
        </w:rPr>
        <w:t>VIII.</w:t>
      </w:r>
      <w:r w:rsidR="009C60B1" w:rsidRPr="009E64FF">
        <w:rPr>
          <w:rFonts w:asciiTheme="minorHAnsi" w:hAnsiTheme="minorHAnsi" w:cstheme="minorHAnsi"/>
        </w:rPr>
        <w:tab/>
        <w:t>Exclusions</w:t>
      </w:r>
    </w:p>
    <w:p w14:paraId="6DDD8D50" w14:textId="77777777" w:rsidR="005949FB" w:rsidRPr="009E64FF" w:rsidRDefault="006256B5" w:rsidP="009E64FF">
      <w:pPr>
        <w:spacing w:before="120" w:after="240"/>
        <w:rPr>
          <w:rFonts w:asciiTheme="minorHAnsi" w:hAnsiTheme="minorHAnsi" w:cstheme="minorHAnsi"/>
        </w:rPr>
      </w:pPr>
      <w:r w:rsidRPr="009E64FF">
        <w:rPr>
          <w:rFonts w:asciiTheme="minorHAnsi" w:hAnsiTheme="minorHAnsi" w:cstheme="minorHAnsi"/>
        </w:rPr>
        <w:t>None.</w:t>
      </w:r>
    </w:p>
    <w:p w14:paraId="67832A46" w14:textId="3FB8F546" w:rsidR="009C60B1" w:rsidRPr="009E64FF" w:rsidRDefault="00377D6C" w:rsidP="00377D6C">
      <w:pPr>
        <w:pStyle w:val="Heading3"/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shd w:val="clear" w:color="auto" w:fill="740027"/>
        <w:rPr>
          <w:rFonts w:asciiTheme="minorHAnsi" w:hAnsiTheme="minorHAnsi" w:cstheme="minorHAnsi"/>
        </w:rPr>
      </w:pPr>
      <w:bookmarkStart w:id="8" w:name="_IX._Effective_Date"/>
      <w:bookmarkEnd w:id="8"/>
      <w:r>
        <w:rPr>
          <w:rFonts w:asciiTheme="minorHAnsi" w:hAnsiTheme="minorHAnsi" w:cstheme="minorHAnsi"/>
        </w:rPr>
        <w:t>IX</w:t>
      </w:r>
      <w:r w:rsidR="00D51215">
        <w:rPr>
          <w:rFonts w:asciiTheme="minorHAnsi" w:hAnsiTheme="minorHAnsi" w:cstheme="minorHAnsi"/>
        </w:rPr>
        <w:t>.</w:t>
      </w:r>
      <w:r w:rsidR="009C60B1" w:rsidRPr="009E64FF">
        <w:rPr>
          <w:rFonts w:asciiTheme="minorHAnsi" w:hAnsiTheme="minorHAnsi" w:cstheme="minorHAnsi"/>
        </w:rPr>
        <w:tab/>
        <w:t>Effective Date</w:t>
      </w:r>
    </w:p>
    <w:p w14:paraId="2DF9B525" w14:textId="5FE21BDB" w:rsidR="005949FB" w:rsidRPr="009E64FF" w:rsidRDefault="006256B5" w:rsidP="009E64FF">
      <w:pPr>
        <w:spacing w:before="120" w:after="240"/>
        <w:rPr>
          <w:rFonts w:asciiTheme="minorHAnsi" w:hAnsiTheme="minorHAnsi" w:cstheme="minorHAnsi"/>
        </w:rPr>
      </w:pPr>
      <w:r w:rsidRPr="009E64FF">
        <w:rPr>
          <w:rFonts w:asciiTheme="minorHAnsi" w:hAnsiTheme="minorHAnsi" w:cstheme="minorHAnsi"/>
        </w:rPr>
        <w:t>Th</w:t>
      </w:r>
      <w:r w:rsidR="001F10F9">
        <w:rPr>
          <w:rFonts w:asciiTheme="minorHAnsi" w:hAnsiTheme="minorHAnsi" w:cstheme="minorHAnsi"/>
        </w:rPr>
        <w:t>is Policy will become on July 1, 2024.</w:t>
      </w:r>
    </w:p>
    <w:p w14:paraId="5FA70DA1" w14:textId="5F58B0BF" w:rsidR="009C60B1" w:rsidRPr="009E64FF" w:rsidRDefault="00377D6C" w:rsidP="00377D6C">
      <w:pPr>
        <w:pStyle w:val="Heading3"/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shd w:val="clear" w:color="auto" w:fill="740027"/>
        <w:rPr>
          <w:rFonts w:asciiTheme="minorHAnsi" w:hAnsiTheme="minorHAnsi" w:cstheme="minorHAnsi"/>
        </w:rPr>
      </w:pPr>
      <w:bookmarkStart w:id="9" w:name="_X._Adoption_Date"/>
      <w:bookmarkEnd w:id="9"/>
      <w:r>
        <w:rPr>
          <w:rFonts w:asciiTheme="minorHAnsi" w:hAnsiTheme="minorHAnsi" w:cstheme="minorHAnsi"/>
        </w:rPr>
        <w:t>X</w:t>
      </w:r>
      <w:r w:rsidR="00D51215">
        <w:rPr>
          <w:rFonts w:asciiTheme="minorHAnsi" w:hAnsiTheme="minorHAnsi" w:cstheme="minorHAnsi"/>
        </w:rPr>
        <w:t>.</w:t>
      </w:r>
      <w:r w:rsidR="009C60B1" w:rsidRPr="009E64FF">
        <w:rPr>
          <w:rFonts w:asciiTheme="minorHAnsi" w:hAnsiTheme="minorHAnsi" w:cstheme="minorHAnsi"/>
        </w:rPr>
        <w:tab/>
        <w:t xml:space="preserve">Adoption </w:t>
      </w:r>
    </w:p>
    <w:p w14:paraId="26C2B461" w14:textId="7AE10C64" w:rsidR="009C60B1" w:rsidRPr="009E64FF" w:rsidRDefault="005949FB" w:rsidP="000D1A7A">
      <w:pPr>
        <w:tabs>
          <w:tab w:val="left" w:pos="720"/>
        </w:tabs>
        <w:spacing w:before="160" w:after="240"/>
        <w:rPr>
          <w:rFonts w:asciiTheme="minorHAnsi" w:hAnsiTheme="minorHAnsi" w:cstheme="minorHAnsi"/>
        </w:rPr>
      </w:pPr>
      <w:r w:rsidRPr="009E64FF">
        <w:rPr>
          <w:rFonts w:asciiTheme="minorHAnsi" w:hAnsiTheme="minorHAnsi" w:cstheme="minorHAnsi"/>
        </w:rPr>
        <w:t>This polic</w:t>
      </w:r>
      <w:r w:rsidR="001F10F9">
        <w:rPr>
          <w:rFonts w:asciiTheme="minorHAnsi" w:hAnsiTheme="minorHAnsi" w:cstheme="minorHAnsi"/>
        </w:rPr>
        <w:t>y is hereby adopted on this 25</w:t>
      </w:r>
      <w:r w:rsidR="001F10F9" w:rsidRPr="001F10F9">
        <w:rPr>
          <w:rFonts w:asciiTheme="minorHAnsi" w:hAnsiTheme="minorHAnsi" w:cstheme="minorHAnsi"/>
          <w:vertAlign w:val="superscript"/>
        </w:rPr>
        <w:t>th</w:t>
      </w:r>
      <w:r w:rsidR="001F10F9">
        <w:rPr>
          <w:rFonts w:asciiTheme="minorHAnsi" w:hAnsiTheme="minorHAnsi" w:cstheme="minorHAnsi"/>
        </w:rPr>
        <w:t xml:space="preserve"> day of June 2024</w:t>
      </w:r>
      <w:r w:rsidRPr="009E64FF">
        <w:rPr>
          <w:rFonts w:asciiTheme="minorHAnsi" w:hAnsiTheme="minorHAnsi" w:cstheme="minorHAnsi"/>
        </w:rPr>
        <w:t>.</w:t>
      </w:r>
    </w:p>
    <w:p w14:paraId="168EAD61" w14:textId="7D1B4E8E" w:rsidR="005949FB" w:rsidRPr="009E64FF" w:rsidRDefault="009D20CF" w:rsidP="000D1A7A">
      <w:pPr>
        <w:tabs>
          <w:tab w:val="left" w:pos="720"/>
        </w:tabs>
        <w:spacing w:after="240"/>
        <w:rPr>
          <w:rFonts w:asciiTheme="minorHAnsi" w:hAnsiTheme="minorHAnsi" w:cstheme="minorHAnsi"/>
        </w:rPr>
      </w:pPr>
      <w:r w:rsidRPr="009E64FF">
        <w:rPr>
          <w:rFonts w:asciiTheme="minorHAnsi" w:hAnsiTheme="minorHAnsi" w:cstheme="minorHAnsi"/>
        </w:rPr>
        <w:t xml:space="preserve">Recommended for Approval by: </w:t>
      </w:r>
      <w:r w:rsidRPr="009E64FF">
        <w:rPr>
          <w:rFonts w:asciiTheme="minorHAnsi" w:hAnsiTheme="minorHAnsi" w:cstheme="minorHAnsi"/>
        </w:rPr>
        <w:tab/>
      </w:r>
      <w:r w:rsidRPr="009E64FF">
        <w:rPr>
          <w:rFonts w:asciiTheme="minorHAnsi" w:hAnsiTheme="minorHAnsi" w:cstheme="minorHAnsi"/>
        </w:rPr>
        <w:tab/>
      </w:r>
      <w:r w:rsidRPr="009E64FF">
        <w:rPr>
          <w:rFonts w:asciiTheme="minorHAnsi" w:hAnsiTheme="minorHAnsi" w:cstheme="minorHAnsi"/>
        </w:rPr>
        <w:tab/>
      </w:r>
      <w:r w:rsidRPr="009E64FF">
        <w:rPr>
          <w:rFonts w:asciiTheme="minorHAnsi" w:hAnsiTheme="minorHAnsi" w:cstheme="minorHAnsi"/>
        </w:rPr>
        <w:tab/>
        <w:t>Approved by:</w:t>
      </w:r>
      <w:r w:rsidRPr="009E64FF">
        <w:rPr>
          <w:rFonts w:asciiTheme="minorHAnsi" w:hAnsiTheme="minorHAnsi" w:cstheme="minorHAnsi"/>
        </w:rPr>
        <w:tab/>
      </w:r>
      <w:r w:rsidRPr="009E64FF">
        <w:rPr>
          <w:rFonts w:asciiTheme="minorHAnsi" w:hAnsiTheme="minorHAnsi" w:cstheme="minorHAnsi"/>
        </w:rPr>
        <w:tab/>
      </w:r>
    </w:p>
    <w:p w14:paraId="7A9E284B" w14:textId="1BA18D02" w:rsidR="000E6DF3" w:rsidRPr="009E64FF" w:rsidRDefault="00CF5BE6" w:rsidP="000D1A7A">
      <w:pPr>
        <w:tabs>
          <w:tab w:val="left" w:pos="720"/>
        </w:tabs>
        <w:spacing w:after="240"/>
        <w:rPr>
          <w:rFonts w:asciiTheme="minorHAnsi" w:hAnsiTheme="minorHAnsi" w:cstheme="minorHAnsi"/>
        </w:rPr>
      </w:pPr>
      <w:r w:rsidRPr="0056218D">
        <w:rPr>
          <w:rFonts w:asciiTheme="minorHAnsi" w:hAnsiTheme="minorHAnsi"/>
          <w:noProof/>
        </w:rPr>
        <w:drawing>
          <wp:anchor distT="0" distB="0" distL="114300" distR="114300" simplePos="0" relativeHeight="251658242" behindDoc="0" locked="0" layoutInCell="1" allowOverlap="1" wp14:anchorId="7B146279" wp14:editId="450F85EA">
            <wp:simplePos x="0" y="0"/>
            <wp:positionH relativeFrom="column">
              <wp:posOffset>4105275</wp:posOffset>
            </wp:positionH>
            <wp:positionV relativeFrom="paragraph">
              <wp:posOffset>27940</wp:posOffset>
            </wp:positionV>
            <wp:extent cx="1502410" cy="817880"/>
            <wp:effectExtent l="0" t="0" r="0" b="0"/>
            <wp:wrapNone/>
            <wp:docPr id="2" name="Picture 2" descr="Dr. Ron Berry's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r. Ron Berry's Signatur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2410" cy="81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13D05">
        <w:rPr>
          <w:rFonts w:asciiTheme="minorHAnsi" w:hAnsiTheme="minorHAnsi"/>
          <w:noProof/>
        </w:rPr>
        <w:drawing>
          <wp:anchor distT="0" distB="0" distL="114300" distR="114300" simplePos="0" relativeHeight="251658241" behindDoc="0" locked="0" layoutInCell="1" allowOverlap="1" wp14:anchorId="62918E0F" wp14:editId="27AA7BBD">
            <wp:simplePos x="0" y="0"/>
            <wp:positionH relativeFrom="column">
              <wp:posOffset>400050</wp:posOffset>
            </wp:positionH>
            <wp:positionV relativeFrom="paragraph">
              <wp:posOffset>26035</wp:posOffset>
            </wp:positionV>
            <wp:extent cx="2009775" cy="637934"/>
            <wp:effectExtent l="0" t="0" r="0" b="0"/>
            <wp:wrapNone/>
            <wp:docPr id="1" name="Picture 1" descr="Dr. Mark Arant's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r. Mark Arant's Signatur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637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7CBF15" w14:textId="49314411" w:rsidR="009D20CF" w:rsidRPr="009E64FF" w:rsidRDefault="000D1A7A" w:rsidP="009D20CF">
      <w:pPr>
        <w:rPr>
          <w:rFonts w:asciiTheme="minorHAnsi" w:hAnsiTheme="minorHAnsi" w:cstheme="minorHAnsi"/>
        </w:rPr>
      </w:pPr>
      <w:r w:rsidRPr="009E64FF">
        <w:rPr>
          <w:rFonts w:asciiTheme="minorHAnsi" w:hAnsiTheme="minorHAnsi" w:cstheme="minorHAnsi"/>
        </w:rPr>
        <w:t>______</w:t>
      </w:r>
      <w:r w:rsidR="00550156" w:rsidRPr="009E64FF">
        <w:rPr>
          <w:rFonts w:asciiTheme="minorHAnsi" w:hAnsiTheme="minorHAnsi" w:cstheme="minorHAnsi"/>
        </w:rPr>
        <w:t>______________________________</w:t>
      </w:r>
      <w:r w:rsidR="009D20CF" w:rsidRPr="009E64FF">
        <w:rPr>
          <w:rFonts w:asciiTheme="minorHAnsi" w:hAnsiTheme="minorHAnsi" w:cstheme="minorHAnsi"/>
        </w:rPr>
        <w:tab/>
      </w:r>
      <w:r w:rsidR="009D20CF" w:rsidRPr="009E64FF">
        <w:rPr>
          <w:rFonts w:asciiTheme="minorHAnsi" w:hAnsiTheme="minorHAnsi" w:cstheme="minorHAnsi"/>
        </w:rPr>
        <w:tab/>
      </w:r>
      <w:r w:rsidR="009D20CF" w:rsidRPr="009E64FF">
        <w:rPr>
          <w:rFonts w:asciiTheme="minorHAnsi" w:hAnsiTheme="minorHAnsi" w:cstheme="minorHAnsi"/>
        </w:rPr>
        <w:tab/>
        <w:t>____________________________________</w:t>
      </w:r>
      <w:r w:rsidR="009D20CF" w:rsidRPr="009E64FF">
        <w:rPr>
          <w:rFonts w:asciiTheme="minorHAnsi" w:hAnsiTheme="minorHAnsi" w:cstheme="minorHAnsi"/>
        </w:rPr>
        <w:tab/>
      </w:r>
    </w:p>
    <w:p w14:paraId="6CBB4997" w14:textId="0BDA5F45" w:rsidR="00550156" w:rsidRPr="009E64FF" w:rsidRDefault="009D20CF" w:rsidP="009D20CF">
      <w:pPr>
        <w:tabs>
          <w:tab w:val="left" w:pos="720"/>
        </w:tabs>
        <w:spacing w:after="240"/>
        <w:rPr>
          <w:rFonts w:asciiTheme="minorHAnsi" w:hAnsiTheme="minorHAnsi" w:cstheme="minorHAnsi"/>
        </w:rPr>
      </w:pPr>
      <w:r w:rsidRPr="009E64FF">
        <w:rPr>
          <w:rFonts w:asciiTheme="minorHAnsi" w:hAnsiTheme="minorHAnsi" w:cstheme="minorHAnsi"/>
        </w:rPr>
        <w:t xml:space="preserve"> </w:t>
      </w:r>
      <w:r w:rsidR="009E64FF">
        <w:rPr>
          <w:rFonts w:asciiTheme="minorHAnsi" w:hAnsiTheme="minorHAnsi" w:cstheme="minorHAnsi"/>
        </w:rPr>
        <w:t xml:space="preserve">       </w:t>
      </w:r>
      <w:r w:rsidR="006256B5" w:rsidRPr="009E64FF">
        <w:rPr>
          <w:rFonts w:asciiTheme="minorHAnsi" w:hAnsiTheme="minorHAnsi" w:cstheme="minorHAnsi"/>
        </w:rPr>
        <w:t xml:space="preserve">Dr. Mark </w:t>
      </w:r>
      <w:proofErr w:type="spellStart"/>
      <w:r w:rsidR="006256B5" w:rsidRPr="009E64FF">
        <w:rPr>
          <w:rFonts w:asciiTheme="minorHAnsi" w:hAnsiTheme="minorHAnsi" w:cstheme="minorHAnsi"/>
        </w:rPr>
        <w:t>Arant</w:t>
      </w:r>
      <w:proofErr w:type="spellEnd"/>
      <w:r w:rsidR="006256B5" w:rsidRPr="009E64FF">
        <w:rPr>
          <w:rFonts w:asciiTheme="minorHAnsi" w:hAnsiTheme="minorHAnsi" w:cstheme="minorHAnsi"/>
        </w:rPr>
        <w:t>, Provost</w:t>
      </w:r>
      <w:r w:rsidR="006256B5" w:rsidRPr="009E64FF">
        <w:rPr>
          <w:rFonts w:asciiTheme="minorHAnsi" w:hAnsiTheme="minorHAnsi" w:cstheme="minorHAnsi"/>
        </w:rPr>
        <w:tab/>
      </w:r>
      <w:r w:rsidR="006256B5" w:rsidRPr="009E64FF">
        <w:rPr>
          <w:rFonts w:asciiTheme="minorHAnsi" w:hAnsiTheme="minorHAnsi" w:cstheme="minorHAnsi"/>
        </w:rPr>
        <w:tab/>
      </w:r>
      <w:r w:rsidR="006256B5" w:rsidRPr="009E64FF">
        <w:rPr>
          <w:rFonts w:asciiTheme="minorHAnsi" w:hAnsiTheme="minorHAnsi" w:cstheme="minorHAnsi"/>
        </w:rPr>
        <w:tab/>
      </w:r>
      <w:r w:rsidR="006256B5" w:rsidRPr="009E64FF">
        <w:rPr>
          <w:rFonts w:asciiTheme="minorHAnsi" w:hAnsiTheme="minorHAnsi" w:cstheme="minorHAnsi"/>
        </w:rPr>
        <w:tab/>
      </w:r>
      <w:r w:rsidRPr="009E64FF">
        <w:rPr>
          <w:rFonts w:asciiTheme="minorHAnsi" w:hAnsiTheme="minorHAnsi" w:cstheme="minorHAnsi"/>
          <w:b/>
        </w:rPr>
        <w:t xml:space="preserve">   </w:t>
      </w:r>
      <w:r w:rsidR="0065093B" w:rsidRPr="009E64FF">
        <w:rPr>
          <w:rFonts w:asciiTheme="minorHAnsi" w:hAnsiTheme="minorHAnsi" w:cstheme="minorHAnsi"/>
          <w:b/>
        </w:rPr>
        <w:t xml:space="preserve">      </w:t>
      </w:r>
      <w:r w:rsidR="006256B5" w:rsidRPr="009E64FF">
        <w:rPr>
          <w:rFonts w:asciiTheme="minorHAnsi" w:hAnsiTheme="minorHAnsi" w:cstheme="minorHAnsi"/>
          <w:b/>
        </w:rPr>
        <w:t xml:space="preserve">  </w:t>
      </w:r>
      <w:r w:rsidR="00E00B0B" w:rsidRPr="009E64FF">
        <w:rPr>
          <w:rFonts w:asciiTheme="minorHAnsi" w:hAnsiTheme="minorHAnsi" w:cstheme="minorHAnsi"/>
          <w:b/>
        </w:rPr>
        <w:t xml:space="preserve">    </w:t>
      </w:r>
      <w:r w:rsidR="000D1A7A" w:rsidRPr="009E64FF">
        <w:rPr>
          <w:rFonts w:asciiTheme="minorHAnsi" w:hAnsiTheme="minorHAnsi" w:cstheme="minorHAnsi"/>
          <w:b/>
        </w:rPr>
        <w:t xml:space="preserve"> </w:t>
      </w:r>
      <w:r w:rsidR="009E64FF">
        <w:rPr>
          <w:rFonts w:asciiTheme="minorHAnsi" w:hAnsiTheme="minorHAnsi" w:cstheme="minorHAnsi"/>
          <w:b/>
        </w:rPr>
        <w:t xml:space="preserve">      </w:t>
      </w:r>
      <w:r w:rsidR="00A53739" w:rsidRPr="009E64FF">
        <w:rPr>
          <w:rFonts w:asciiTheme="minorHAnsi" w:hAnsiTheme="minorHAnsi" w:cstheme="minorHAnsi"/>
        </w:rPr>
        <w:t>Dr. Ronald L. Berry,</w:t>
      </w:r>
      <w:r w:rsidR="00740EAA" w:rsidRPr="009E64FF">
        <w:rPr>
          <w:rFonts w:asciiTheme="minorHAnsi" w:hAnsiTheme="minorHAnsi" w:cstheme="minorHAnsi"/>
        </w:rPr>
        <w:t xml:space="preserve"> </w:t>
      </w:r>
      <w:r w:rsidRPr="009E64FF">
        <w:rPr>
          <w:rFonts w:asciiTheme="minorHAnsi" w:hAnsiTheme="minorHAnsi" w:cstheme="minorHAnsi"/>
        </w:rPr>
        <w:t>President</w:t>
      </w:r>
    </w:p>
    <w:p w14:paraId="68031233" w14:textId="1712864B" w:rsidR="00B34DF6" w:rsidRPr="009E64FF" w:rsidRDefault="00D51215" w:rsidP="00D51215">
      <w:pPr>
        <w:pStyle w:val="Heading3"/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shd w:val="clear" w:color="auto" w:fill="740027"/>
        <w:rPr>
          <w:rFonts w:asciiTheme="minorHAnsi" w:hAnsiTheme="minorHAnsi" w:cstheme="minorHAnsi"/>
        </w:rPr>
      </w:pPr>
      <w:bookmarkStart w:id="10" w:name="_XI._References_and"/>
      <w:bookmarkStart w:id="11" w:name="_XI._Appendices,_References"/>
      <w:bookmarkEnd w:id="10"/>
      <w:bookmarkEnd w:id="11"/>
      <w:r>
        <w:rPr>
          <w:rFonts w:asciiTheme="minorHAnsi" w:hAnsiTheme="minorHAnsi" w:cstheme="minorHAnsi"/>
        </w:rPr>
        <w:t>XI.</w:t>
      </w:r>
      <w:r w:rsidR="00B34DF6" w:rsidRPr="009E64FF">
        <w:rPr>
          <w:rFonts w:asciiTheme="minorHAnsi" w:hAnsiTheme="minorHAnsi" w:cstheme="minorHAnsi"/>
        </w:rPr>
        <w:tab/>
      </w:r>
      <w:r w:rsidR="00DC6236" w:rsidRPr="009E64FF">
        <w:rPr>
          <w:rFonts w:asciiTheme="minorHAnsi" w:hAnsiTheme="minorHAnsi" w:cstheme="minorHAnsi"/>
        </w:rPr>
        <w:t xml:space="preserve">Appendices, </w:t>
      </w:r>
      <w:r w:rsidR="008B5DDB" w:rsidRPr="009E64FF">
        <w:rPr>
          <w:rFonts w:asciiTheme="minorHAnsi" w:hAnsiTheme="minorHAnsi" w:cstheme="minorHAnsi"/>
        </w:rPr>
        <w:t>References and Related Materials</w:t>
      </w:r>
    </w:p>
    <w:p w14:paraId="58DE218B" w14:textId="70D1FF4A" w:rsidR="00DC6236" w:rsidRPr="009E64FF" w:rsidRDefault="006256B5" w:rsidP="000D1A7A">
      <w:pPr>
        <w:spacing w:before="160" w:after="240"/>
        <w:rPr>
          <w:rFonts w:asciiTheme="minorHAnsi" w:hAnsiTheme="minorHAnsi" w:cstheme="minorHAnsi"/>
        </w:rPr>
      </w:pPr>
      <w:r w:rsidRPr="009E64FF">
        <w:rPr>
          <w:rFonts w:asciiTheme="minorHAnsi" w:hAnsiTheme="minorHAnsi" w:cstheme="minorHAnsi"/>
        </w:rPr>
        <w:t>N/A.</w:t>
      </w:r>
    </w:p>
    <w:p w14:paraId="5CB9A45E" w14:textId="1AF67A08" w:rsidR="00DC6236" w:rsidRPr="009E64FF" w:rsidRDefault="00D51215" w:rsidP="00D51215">
      <w:pPr>
        <w:pStyle w:val="Heading3"/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shd w:val="clear" w:color="auto" w:fill="740027"/>
        <w:tabs>
          <w:tab w:val="left" w:pos="720"/>
          <w:tab w:val="left" w:pos="1440"/>
          <w:tab w:val="left" w:pos="2160"/>
          <w:tab w:val="left" w:pos="2760"/>
        </w:tabs>
        <w:rPr>
          <w:rFonts w:asciiTheme="minorHAnsi" w:hAnsiTheme="minorHAnsi" w:cstheme="minorHAnsi"/>
        </w:rPr>
      </w:pPr>
      <w:bookmarkStart w:id="12" w:name="_XII._Revision_History"/>
      <w:bookmarkEnd w:id="12"/>
      <w:r>
        <w:rPr>
          <w:rFonts w:asciiTheme="minorHAnsi" w:hAnsiTheme="minorHAnsi" w:cstheme="minorHAnsi"/>
        </w:rPr>
        <w:t>XII.</w:t>
      </w:r>
      <w:r w:rsidR="00DC6236" w:rsidRPr="009E64FF">
        <w:rPr>
          <w:rFonts w:asciiTheme="minorHAnsi" w:hAnsiTheme="minorHAnsi" w:cstheme="minorHAnsi"/>
        </w:rPr>
        <w:tab/>
        <w:t>Revision History</w:t>
      </w:r>
      <w:r w:rsidR="00892246" w:rsidRPr="009E64FF">
        <w:rPr>
          <w:rFonts w:asciiTheme="minorHAnsi" w:hAnsiTheme="minorHAnsi" w:cstheme="minorHAnsi"/>
        </w:rPr>
        <w:tab/>
      </w:r>
    </w:p>
    <w:p w14:paraId="58E37FF1" w14:textId="291B3567" w:rsidR="00DC6236" w:rsidRPr="009E64FF" w:rsidRDefault="006256B5" w:rsidP="009E64FF">
      <w:pPr>
        <w:spacing w:before="120" w:after="240"/>
        <w:rPr>
          <w:rFonts w:asciiTheme="minorHAnsi" w:hAnsiTheme="minorHAnsi" w:cstheme="minorHAnsi"/>
        </w:rPr>
      </w:pPr>
      <w:r w:rsidRPr="009E64FF">
        <w:rPr>
          <w:rFonts w:asciiTheme="minorHAnsi" w:hAnsiTheme="minorHAnsi" w:cstheme="minorHAnsi"/>
        </w:rPr>
        <w:t>Original Adoption Date:</w:t>
      </w:r>
      <w:r w:rsidR="001F10F9">
        <w:rPr>
          <w:rFonts w:asciiTheme="minorHAnsi" w:hAnsiTheme="minorHAnsi" w:cstheme="minorHAnsi"/>
        </w:rPr>
        <w:t xml:space="preserve"> </w:t>
      </w:r>
      <w:r w:rsidRPr="009E64FF">
        <w:rPr>
          <w:rFonts w:asciiTheme="minorHAnsi" w:hAnsiTheme="minorHAnsi" w:cstheme="minorHAnsi"/>
        </w:rPr>
        <w:t xml:space="preserve"> </w:t>
      </w:r>
      <w:r w:rsidR="001F10F9">
        <w:rPr>
          <w:rFonts w:asciiTheme="minorHAnsi" w:hAnsiTheme="minorHAnsi" w:cstheme="minorHAnsi"/>
        </w:rPr>
        <w:t>June 25</w:t>
      </w:r>
      <w:r w:rsidR="00732FBA">
        <w:rPr>
          <w:rFonts w:asciiTheme="minorHAnsi" w:hAnsiTheme="minorHAnsi" w:cstheme="minorHAnsi"/>
        </w:rPr>
        <w:t>, 2024</w:t>
      </w:r>
      <w:r w:rsidR="001F10F9">
        <w:rPr>
          <w:rFonts w:asciiTheme="minorHAnsi" w:hAnsiTheme="minorHAnsi" w:cstheme="minorHAnsi"/>
        </w:rPr>
        <w:t>.</w:t>
      </w:r>
    </w:p>
    <w:sectPr w:rsidR="00DC6236" w:rsidRPr="009E64FF" w:rsidSect="007A5E1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 w:code="1"/>
      <w:pgMar w:top="720" w:right="1080" w:bottom="432" w:left="1080" w:header="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7164B" w14:textId="77777777" w:rsidR="001E4148" w:rsidRDefault="001E4148">
      <w:r>
        <w:separator/>
      </w:r>
    </w:p>
  </w:endnote>
  <w:endnote w:type="continuationSeparator" w:id="0">
    <w:p w14:paraId="34C8BEAA" w14:textId="77777777" w:rsidR="001E4148" w:rsidRDefault="001E4148">
      <w:r>
        <w:continuationSeparator/>
      </w:r>
    </w:p>
  </w:endnote>
  <w:endnote w:type="continuationNotice" w:id="1">
    <w:p w14:paraId="3C194683" w14:textId="77777777" w:rsidR="0007287F" w:rsidRDefault="000728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A5DCA" w14:textId="77777777" w:rsidR="004640D9" w:rsidRDefault="004640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01823333"/>
      <w:docPartObj>
        <w:docPartGallery w:val="Page Numbers (Bottom of Page)"/>
        <w:docPartUnique/>
      </w:docPartObj>
    </w:sdtPr>
    <w:sdtEndPr>
      <w:rPr>
        <w:color w:val="000000" w:themeColor="text1"/>
      </w:rPr>
    </w:sdtEndPr>
    <w:sdtContent>
      <w:sdt>
        <w:sdtPr>
          <w:rPr>
            <w:color w:val="000000" w:themeColor="text1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FC8D7F" w14:textId="2D3087AD" w:rsidR="002A45EB" w:rsidRPr="004640D9" w:rsidRDefault="006256B5" w:rsidP="002A45EB">
            <w:pPr>
              <w:pStyle w:val="NoSpacing"/>
              <w:rPr>
                <w:rFonts w:asciiTheme="minorHAnsi" w:hAnsiTheme="minorHAnsi"/>
                <w:bCs/>
                <w:color w:val="000000" w:themeColor="text1"/>
              </w:rPr>
            </w:pPr>
            <w:r w:rsidRPr="004640D9">
              <w:rPr>
                <w:rFonts w:asciiTheme="minorHAnsi" w:hAnsiTheme="minorHAnsi"/>
                <w:color w:val="000000" w:themeColor="text1"/>
              </w:rPr>
              <w:t xml:space="preserve">Hiring ABD Faculty Policy      </w:t>
            </w:r>
            <w:r w:rsidR="002A45EB" w:rsidRPr="004640D9">
              <w:rPr>
                <w:rFonts w:asciiTheme="minorHAnsi" w:hAnsiTheme="minorHAnsi"/>
                <w:color w:val="000000" w:themeColor="text1"/>
              </w:rPr>
              <w:t xml:space="preserve">                                                                           </w:t>
            </w:r>
            <w:r w:rsidR="00B93AFE" w:rsidRPr="004640D9">
              <w:rPr>
                <w:rFonts w:asciiTheme="minorHAnsi" w:hAnsiTheme="minorHAnsi"/>
                <w:color w:val="000000" w:themeColor="text1"/>
              </w:rPr>
              <w:t xml:space="preserve"> </w:t>
            </w:r>
            <w:r w:rsidR="002A45EB" w:rsidRPr="004640D9">
              <w:rPr>
                <w:rFonts w:asciiTheme="minorHAnsi" w:hAnsiTheme="minorHAnsi"/>
                <w:color w:val="000000" w:themeColor="text1"/>
              </w:rPr>
              <w:t xml:space="preserve">                                      Page </w:t>
            </w:r>
            <w:r w:rsidR="002A45EB" w:rsidRPr="004640D9">
              <w:rPr>
                <w:rFonts w:asciiTheme="minorHAnsi" w:hAnsiTheme="minorHAnsi"/>
                <w:bCs/>
                <w:color w:val="000000" w:themeColor="text1"/>
              </w:rPr>
              <w:fldChar w:fldCharType="begin"/>
            </w:r>
            <w:r w:rsidR="002A45EB" w:rsidRPr="004640D9">
              <w:rPr>
                <w:rFonts w:asciiTheme="minorHAnsi" w:hAnsiTheme="minorHAnsi"/>
                <w:bCs/>
                <w:color w:val="000000" w:themeColor="text1"/>
              </w:rPr>
              <w:instrText xml:space="preserve"> PAGE </w:instrText>
            </w:r>
            <w:r w:rsidR="002A45EB" w:rsidRPr="004640D9">
              <w:rPr>
                <w:rFonts w:asciiTheme="minorHAnsi" w:hAnsiTheme="minorHAnsi"/>
                <w:bCs/>
                <w:color w:val="000000" w:themeColor="text1"/>
              </w:rPr>
              <w:fldChar w:fldCharType="separate"/>
            </w:r>
            <w:r w:rsidR="00CF5BE6" w:rsidRPr="004640D9">
              <w:rPr>
                <w:rFonts w:asciiTheme="minorHAnsi" w:hAnsiTheme="minorHAnsi"/>
                <w:bCs/>
                <w:noProof/>
                <w:color w:val="000000" w:themeColor="text1"/>
              </w:rPr>
              <w:t>2</w:t>
            </w:r>
            <w:r w:rsidR="002A45EB" w:rsidRPr="004640D9">
              <w:rPr>
                <w:rFonts w:asciiTheme="minorHAnsi" w:hAnsiTheme="minorHAnsi"/>
                <w:bCs/>
                <w:color w:val="000000" w:themeColor="text1"/>
              </w:rPr>
              <w:fldChar w:fldCharType="end"/>
            </w:r>
            <w:r w:rsidR="002A45EB" w:rsidRPr="004640D9">
              <w:rPr>
                <w:rFonts w:asciiTheme="minorHAnsi" w:hAnsiTheme="minorHAnsi"/>
                <w:color w:val="000000" w:themeColor="text1"/>
              </w:rPr>
              <w:t xml:space="preserve"> of </w:t>
            </w:r>
            <w:r w:rsidR="002A45EB" w:rsidRPr="004640D9">
              <w:rPr>
                <w:rFonts w:asciiTheme="minorHAnsi" w:hAnsiTheme="minorHAnsi"/>
                <w:bCs/>
                <w:color w:val="000000" w:themeColor="text1"/>
              </w:rPr>
              <w:fldChar w:fldCharType="begin"/>
            </w:r>
            <w:r w:rsidR="002A45EB" w:rsidRPr="004640D9">
              <w:rPr>
                <w:rFonts w:asciiTheme="minorHAnsi" w:hAnsiTheme="minorHAnsi"/>
                <w:bCs/>
                <w:color w:val="000000" w:themeColor="text1"/>
              </w:rPr>
              <w:instrText xml:space="preserve"> NUMPAGES  </w:instrText>
            </w:r>
            <w:r w:rsidR="002A45EB" w:rsidRPr="004640D9">
              <w:rPr>
                <w:rFonts w:asciiTheme="minorHAnsi" w:hAnsiTheme="minorHAnsi"/>
                <w:bCs/>
                <w:color w:val="000000" w:themeColor="text1"/>
              </w:rPr>
              <w:fldChar w:fldCharType="separate"/>
            </w:r>
            <w:r w:rsidR="00CF5BE6" w:rsidRPr="004640D9">
              <w:rPr>
                <w:rFonts w:asciiTheme="minorHAnsi" w:hAnsiTheme="minorHAnsi"/>
                <w:bCs/>
                <w:noProof/>
                <w:color w:val="000000" w:themeColor="text1"/>
              </w:rPr>
              <w:t>2</w:t>
            </w:r>
            <w:r w:rsidR="002A45EB" w:rsidRPr="004640D9">
              <w:rPr>
                <w:rFonts w:asciiTheme="minorHAnsi" w:hAnsiTheme="minorHAnsi"/>
                <w:bCs/>
                <w:color w:val="000000" w:themeColor="text1"/>
              </w:rPr>
              <w:fldChar w:fldCharType="end"/>
            </w:r>
          </w:p>
          <w:p w14:paraId="79CD0997" w14:textId="24484F8E" w:rsidR="002A45EB" w:rsidRPr="004640D9" w:rsidRDefault="006256B5" w:rsidP="002A45EB">
            <w:pPr>
              <w:pStyle w:val="NoSpacing"/>
              <w:rPr>
                <w:rFonts w:asciiTheme="minorHAnsi" w:hAnsiTheme="minorHAnsi"/>
                <w:bCs/>
                <w:color w:val="000000" w:themeColor="text1"/>
              </w:rPr>
            </w:pPr>
            <w:r w:rsidRPr="004640D9">
              <w:rPr>
                <w:rFonts w:asciiTheme="minorHAnsi" w:hAnsiTheme="minorHAnsi"/>
                <w:bCs/>
                <w:color w:val="000000" w:themeColor="text1"/>
              </w:rPr>
              <w:t>AA</w:t>
            </w:r>
            <w:r w:rsidR="002A45EB" w:rsidRPr="004640D9">
              <w:rPr>
                <w:rFonts w:asciiTheme="minorHAnsi" w:hAnsiTheme="minorHAnsi"/>
                <w:bCs/>
                <w:color w:val="000000" w:themeColor="text1"/>
              </w:rPr>
              <w:t>00</w:t>
            </w:r>
            <w:r w:rsidR="009E64FF" w:rsidRPr="004640D9">
              <w:rPr>
                <w:rFonts w:asciiTheme="minorHAnsi" w:hAnsiTheme="minorHAnsi"/>
                <w:bCs/>
                <w:color w:val="000000" w:themeColor="text1"/>
              </w:rPr>
              <w:t>9.1</w:t>
            </w:r>
            <w:r w:rsidR="002A45EB" w:rsidRPr="004640D9">
              <w:rPr>
                <w:rFonts w:asciiTheme="minorHAnsi" w:hAnsiTheme="minorHAnsi"/>
                <w:bCs/>
                <w:color w:val="000000" w:themeColor="text1"/>
              </w:rPr>
              <w:t xml:space="preserve"> – </w:t>
            </w:r>
            <w:r w:rsidR="001F10F9" w:rsidRPr="004640D9">
              <w:rPr>
                <w:rFonts w:asciiTheme="minorHAnsi" w:hAnsiTheme="minorHAnsi"/>
                <w:bCs/>
                <w:color w:val="000000" w:themeColor="text1"/>
              </w:rPr>
              <w:t>June 25, 2024</w:t>
            </w:r>
          </w:p>
          <w:p w14:paraId="49F5D87F" w14:textId="77777777" w:rsidR="009F793A" w:rsidRPr="004640D9" w:rsidRDefault="002A45EB" w:rsidP="00A53739">
            <w:pPr>
              <w:pStyle w:val="NoSpacing"/>
              <w:tabs>
                <w:tab w:val="right" w:pos="10080"/>
              </w:tabs>
              <w:rPr>
                <w:rFonts w:asciiTheme="minorHAnsi" w:hAnsiTheme="minorHAnsi"/>
                <w:bCs/>
                <w:color w:val="000000" w:themeColor="text1"/>
                <w:sz w:val="20"/>
                <w:szCs w:val="20"/>
              </w:rPr>
            </w:pPr>
            <w:r w:rsidRPr="004640D9">
              <w:rPr>
                <w:rFonts w:asciiTheme="minorHAnsi" w:hAnsiTheme="minorHAnsi"/>
                <w:bCs/>
                <w:color w:val="000000" w:themeColor="text1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</w:t>
            </w:r>
            <w:r w:rsidR="00DB4992" w:rsidRPr="004640D9">
              <w:rPr>
                <w:rFonts w:asciiTheme="minorHAnsi" w:hAnsiTheme="minorHAnsi"/>
                <w:bCs/>
                <w:color w:val="000000" w:themeColor="text1"/>
                <w:sz w:val="22"/>
                <w:szCs w:val="22"/>
              </w:rPr>
              <w:t xml:space="preserve">   </w:t>
            </w:r>
            <w:r w:rsidRPr="004640D9">
              <w:rPr>
                <w:rFonts w:asciiTheme="minorHAnsi" w:hAnsiTheme="minorHAnsi"/>
                <w:bCs/>
                <w:color w:val="000000" w:themeColor="text1"/>
                <w:sz w:val="22"/>
                <w:szCs w:val="22"/>
              </w:rPr>
              <w:t xml:space="preserve">   </w:t>
            </w:r>
            <w:r w:rsidR="001109B8" w:rsidRPr="004640D9">
              <w:rPr>
                <w:rFonts w:asciiTheme="minorHAnsi" w:hAnsiTheme="minorHAnsi"/>
                <w:bCs/>
                <w:color w:val="000000" w:themeColor="text1"/>
                <w:sz w:val="20"/>
                <w:szCs w:val="20"/>
              </w:rPr>
              <w:t xml:space="preserve">Rev. </w:t>
            </w:r>
            <w:r w:rsidR="00A53739" w:rsidRPr="004640D9">
              <w:rPr>
                <w:rFonts w:asciiTheme="minorHAnsi" w:hAnsiTheme="minorHAnsi"/>
                <w:bCs/>
                <w:color w:val="000000" w:themeColor="text1"/>
                <w:sz w:val="20"/>
                <w:szCs w:val="20"/>
              </w:rPr>
              <w:t>1</w:t>
            </w:r>
            <w:r w:rsidR="001109B8" w:rsidRPr="004640D9">
              <w:rPr>
                <w:rFonts w:asciiTheme="minorHAnsi" w:hAnsiTheme="minorHAnsi"/>
                <w:bCs/>
                <w:color w:val="000000" w:themeColor="text1"/>
                <w:sz w:val="20"/>
                <w:szCs w:val="20"/>
              </w:rPr>
              <w:t>/</w:t>
            </w:r>
            <w:r w:rsidR="00A53739" w:rsidRPr="004640D9">
              <w:rPr>
                <w:rFonts w:asciiTheme="minorHAnsi" w:hAnsiTheme="minorHAnsi"/>
                <w:bCs/>
                <w:color w:val="000000" w:themeColor="text1"/>
                <w:sz w:val="20"/>
                <w:szCs w:val="20"/>
              </w:rPr>
              <w:t>04</w:t>
            </w:r>
            <w:r w:rsidRPr="004640D9">
              <w:rPr>
                <w:rFonts w:asciiTheme="minorHAnsi" w:hAnsiTheme="minorHAnsi"/>
                <w:bCs/>
                <w:color w:val="000000" w:themeColor="text1"/>
                <w:sz w:val="20"/>
                <w:szCs w:val="20"/>
              </w:rPr>
              <w:t>/20</w:t>
            </w:r>
            <w:r w:rsidR="00DB4992" w:rsidRPr="004640D9">
              <w:rPr>
                <w:rFonts w:asciiTheme="minorHAnsi" w:hAnsiTheme="minorHAnsi"/>
                <w:bCs/>
                <w:color w:val="000000" w:themeColor="text1"/>
                <w:sz w:val="20"/>
                <w:szCs w:val="20"/>
              </w:rPr>
              <w:t>2</w:t>
            </w:r>
            <w:r w:rsidR="00A53739" w:rsidRPr="004640D9">
              <w:rPr>
                <w:rFonts w:asciiTheme="minorHAnsi" w:hAnsiTheme="minorHAnsi"/>
                <w:bCs/>
                <w:color w:val="000000" w:themeColor="text1"/>
                <w:sz w:val="20"/>
                <w:szCs w:val="20"/>
              </w:rPr>
              <w:t>1</w:t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3AEB9" w14:textId="77777777" w:rsidR="004640D9" w:rsidRDefault="004640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4FEEE" w14:textId="77777777" w:rsidR="001E4148" w:rsidRDefault="001E4148">
      <w:r>
        <w:separator/>
      </w:r>
    </w:p>
  </w:footnote>
  <w:footnote w:type="continuationSeparator" w:id="0">
    <w:p w14:paraId="66763E29" w14:textId="77777777" w:rsidR="001E4148" w:rsidRDefault="001E4148">
      <w:r>
        <w:continuationSeparator/>
      </w:r>
    </w:p>
  </w:footnote>
  <w:footnote w:type="continuationNotice" w:id="1">
    <w:p w14:paraId="2364A2B0" w14:textId="77777777" w:rsidR="0007287F" w:rsidRDefault="0007287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30B62" w14:textId="77777777" w:rsidR="004640D9" w:rsidRDefault="004640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F5296" w14:textId="53A45FBF" w:rsidR="00283491" w:rsidRDefault="0028349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F4D4D" w14:textId="77777777" w:rsidR="004640D9" w:rsidRDefault="004640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2AB01991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5.75pt;height:51pt" o:bullet="t">
        <v:imagedata r:id="rId1" o:title="UL Fleur de Lis"/>
      </v:shape>
    </w:pict>
  </w:numPicBullet>
  <w:abstractNum w:abstractNumId="0" w15:restartNumberingAfterBreak="0">
    <w:nsid w:val="09C9118A"/>
    <w:multiLevelType w:val="hybridMultilevel"/>
    <w:tmpl w:val="0B2E398E"/>
    <w:lvl w:ilvl="0" w:tplc="04090007">
      <w:start w:val="1"/>
      <w:numFmt w:val="bullet"/>
      <w:lvlText w:val="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20A3E9F"/>
    <w:multiLevelType w:val="hybridMultilevel"/>
    <w:tmpl w:val="C16A764E"/>
    <w:lvl w:ilvl="0" w:tplc="28BAEB80">
      <w:start w:val="1"/>
      <w:numFmt w:val="upperRoman"/>
      <w:lvlText w:val="%1."/>
      <w:lvlJc w:val="left"/>
      <w:pPr>
        <w:ind w:left="81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25C0900"/>
    <w:multiLevelType w:val="multilevel"/>
    <w:tmpl w:val="D5B061E8"/>
    <w:lvl w:ilvl="0">
      <w:start w:val="1"/>
      <w:numFmt w:val="upperRoman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7D21BB"/>
    <w:multiLevelType w:val="multilevel"/>
    <w:tmpl w:val="59744008"/>
    <w:lvl w:ilvl="0">
      <w:start w:val="1"/>
      <w:numFmt w:val="upperRoman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96739BA"/>
    <w:multiLevelType w:val="hybridMultilevel"/>
    <w:tmpl w:val="2F36B2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6E3E42"/>
    <w:multiLevelType w:val="multilevel"/>
    <w:tmpl w:val="54BE83BE"/>
    <w:lvl w:ilvl="0">
      <w:start w:val="1"/>
      <w:numFmt w:val="upperRoman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2776A3A"/>
    <w:multiLevelType w:val="multilevel"/>
    <w:tmpl w:val="1B9EC084"/>
    <w:lvl w:ilvl="0">
      <w:start w:val="1"/>
      <w:numFmt w:val="upperRoman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483695F"/>
    <w:multiLevelType w:val="hybridMultilevel"/>
    <w:tmpl w:val="DFFED4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9A6A1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A0D724C"/>
    <w:multiLevelType w:val="hybridMultilevel"/>
    <w:tmpl w:val="E96C79DA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4F1F6C"/>
    <w:multiLevelType w:val="hybridMultilevel"/>
    <w:tmpl w:val="06BCA71A"/>
    <w:lvl w:ilvl="0" w:tplc="5DE0DD8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5E00D5"/>
    <w:multiLevelType w:val="multilevel"/>
    <w:tmpl w:val="46D26C58"/>
    <w:lvl w:ilvl="0">
      <w:start w:val="1"/>
      <w:numFmt w:val="upperRoman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FFF75D7"/>
    <w:multiLevelType w:val="hybridMultilevel"/>
    <w:tmpl w:val="24F2AF5E"/>
    <w:lvl w:ilvl="0" w:tplc="6CD244D2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30103D76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2" w15:restartNumberingAfterBreak="0">
    <w:nsid w:val="31AF396B"/>
    <w:multiLevelType w:val="multilevel"/>
    <w:tmpl w:val="F3629DEE"/>
    <w:lvl w:ilvl="0">
      <w:start w:val="1"/>
      <w:numFmt w:val="upperRoman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4CB7E3C"/>
    <w:multiLevelType w:val="hybridMultilevel"/>
    <w:tmpl w:val="11F066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7E1545"/>
    <w:multiLevelType w:val="hybridMultilevel"/>
    <w:tmpl w:val="D466F9EE"/>
    <w:lvl w:ilvl="0" w:tplc="6ADCF9B2">
      <w:start w:val="1"/>
      <w:numFmt w:val="lowerLetter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5" w15:restartNumberingAfterBreak="0">
    <w:nsid w:val="3B1C4F24"/>
    <w:multiLevelType w:val="hybridMultilevel"/>
    <w:tmpl w:val="6010DF66"/>
    <w:lvl w:ilvl="0" w:tplc="0628A304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6" w15:restartNumberingAfterBreak="0">
    <w:nsid w:val="3B957427"/>
    <w:multiLevelType w:val="hybridMultilevel"/>
    <w:tmpl w:val="A8626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1C37A4"/>
    <w:multiLevelType w:val="hybridMultilevel"/>
    <w:tmpl w:val="269236E0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35B2053"/>
    <w:multiLevelType w:val="hybridMultilevel"/>
    <w:tmpl w:val="4AC2814E"/>
    <w:lvl w:ilvl="0" w:tplc="47701726">
      <w:start w:val="1"/>
      <w:numFmt w:val="low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5F3065C"/>
    <w:multiLevelType w:val="hybridMultilevel"/>
    <w:tmpl w:val="58AC53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912D0F"/>
    <w:multiLevelType w:val="multilevel"/>
    <w:tmpl w:val="CCCC2D1A"/>
    <w:lvl w:ilvl="0">
      <w:start w:val="1"/>
      <w:numFmt w:val="upperRoman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7E81EF9"/>
    <w:multiLevelType w:val="hybridMultilevel"/>
    <w:tmpl w:val="C748BB54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91C4430"/>
    <w:multiLevelType w:val="multilevel"/>
    <w:tmpl w:val="547A5EE0"/>
    <w:lvl w:ilvl="0">
      <w:start w:val="1"/>
      <w:numFmt w:val="upperRoman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9E451F6"/>
    <w:multiLevelType w:val="hybridMultilevel"/>
    <w:tmpl w:val="3FB809CE"/>
    <w:lvl w:ilvl="0" w:tplc="EA6A610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B272F8A"/>
    <w:multiLevelType w:val="multilevel"/>
    <w:tmpl w:val="157A6420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5" w15:restartNumberingAfterBreak="0">
    <w:nsid w:val="5C766B85"/>
    <w:multiLevelType w:val="hybridMultilevel"/>
    <w:tmpl w:val="FAB803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0C95BFF"/>
    <w:multiLevelType w:val="multilevel"/>
    <w:tmpl w:val="38F8D8C2"/>
    <w:lvl w:ilvl="0">
      <w:start w:val="1"/>
      <w:numFmt w:val="upperRoman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2E41DD8"/>
    <w:multiLevelType w:val="hybridMultilevel"/>
    <w:tmpl w:val="056413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3255955"/>
    <w:multiLevelType w:val="hybridMultilevel"/>
    <w:tmpl w:val="BF387858"/>
    <w:lvl w:ilvl="0" w:tplc="040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63D7C67"/>
    <w:multiLevelType w:val="hybridMultilevel"/>
    <w:tmpl w:val="8E026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C75AF5"/>
    <w:multiLevelType w:val="hybridMultilevel"/>
    <w:tmpl w:val="007E4E8A"/>
    <w:lvl w:ilvl="0" w:tplc="3B64BF08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2A201E"/>
    <w:multiLevelType w:val="hybridMultilevel"/>
    <w:tmpl w:val="80F6DD1E"/>
    <w:lvl w:ilvl="0" w:tplc="F7146AB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625BBF"/>
    <w:multiLevelType w:val="hybridMultilevel"/>
    <w:tmpl w:val="941A2B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7AE2084"/>
    <w:multiLevelType w:val="hybridMultilevel"/>
    <w:tmpl w:val="64DCE1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9821AB"/>
    <w:multiLevelType w:val="hybridMultilevel"/>
    <w:tmpl w:val="B7689AB2"/>
    <w:lvl w:ilvl="0" w:tplc="C9FECC3C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A170E56"/>
    <w:multiLevelType w:val="hybridMultilevel"/>
    <w:tmpl w:val="52AAA474"/>
    <w:lvl w:ilvl="0" w:tplc="FAFC2792">
      <w:start w:val="2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380"/>
        </w:tabs>
        <w:ind w:left="13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6" w15:restartNumberingAfterBreak="0">
    <w:nsid w:val="7A2F243A"/>
    <w:multiLevelType w:val="hybridMultilevel"/>
    <w:tmpl w:val="EEEC6230"/>
    <w:lvl w:ilvl="0" w:tplc="65F872E2">
      <w:start w:val="2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66C64A8E">
      <w:start w:val="7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 w15:restartNumberingAfterBreak="0">
    <w:nsid w:val="7BE424D2"/>
    <w:multiLevelType w:val="hybridMultilevel"/>
    <w:tmpl w:val="507E5D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D296025"/>
    <w:multiLevelType w:val="hybridMultilevel"/>
    <w:tmpl w:val="62CA59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550BDE"/>
    <w:multiLevelType w:val="multilevel"/>
    <w:tmpl w:val="0B6C9CFC"/>
    <w:lvl w:ilvl="0">
      <w:start w:val="1"/>
      <w:numFmt w:val="upperRoman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E0901C9"/>
    <w:multiLevelType w:val="hybridMultilevel"/>
    <w:tmpl w:val="FF44A28C"/>
    <w:lvl w:ilvl="0" w:tplc="4B709998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1" w15:restartNumberingAfterBreak="0">
    <w:nsid w:val="7E780BBA"/>
    <w:multiLevelType w:val="multilevel"/>
    <w:tmpl w:val="FCF866CA"/>
    <w:lvl w:ilvl="0">
      <w:start w:val="1"/>
      <w:numFmt w:val="upperRoman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3"/>
  </w:num>
  <w:num w:numId="2">
    <w:abstractNumId w:val="17"/>
  </w:num>
  <w:num w:numId="3">
    <w:abstractNumId w:val="21"/>
  </w:num>
  <w:num w:numId="4">
    <w:abstractNumId w:val="0"/>
  </w:num>
  <w:num w:numId="5">
    <w:abstractNumId w:val="23"/>
  </w:num>
  <w:num w:numId="6">
    <w:abstractNumId w:val="37"/>
  </w:num>
  <w:num w:numId="7">
    <w:abstractNumId w:val="32"/>
  </w:num>
  <w:num w:numId="8">
    <w:abstractNumId w:val="40"/>
  </w:num>
  <w:num w:numId="9">
    <w:abstractNumId w:val="36"/>
  </w:num>
  <w:num w:numId="10">
    <w:abstractNumId w:val="34"/>
  </w:num>
  <w:num w:numId="11">
    <w:abstractNumId w:val="7"/>
  </w:num>
  <w:num w:numId="12">
    <w:abstractNumId w:val="14"/>
  </w:num>
  <w:num w:numId="13">
    <w:abstractNumId w:val="15"/>
  </w:num>
  <w:num w:numId="14">
    <w:abstractNumId w:val="35"/>
  </w:num>
  <w:num w:numId="15">
    <w:abstractNumId w:val="11"/>
  </w:num>
  <w:num w:numId="16">
    <w:abstractNumId w:val="8"/>
  </w:num>
  <w:num w:numId="17">
    <w:abstractNumId w:val="24"/>
  </w:num>
  <w:num w:numId="18">
    <w:abstractNumId w:val="28"/>
  </w:num>
  <w:num w:numId="19">
    <w:abstractNumId w:val="18"/>
  </w:num>
  <w:num w:numId="20">
    <w:abstractNumId w:val="19"/>
  </w:num>
  <w:num w:numId="21">
    <w:abstractNumId w:val="31"/>
  </w:num>
  <w:num w:numId="22">
    <w:abstractNumId w:val="25"/>
  </w:num>
  <w:num w:numId="23">
    <w:abstractNumId w:val="27"/>
  </w:num>
  <w:num w:numId="24">
    <w:abstractNumId w:val="4"/>
  </w:num>
  <w:num w:numId="25">
    <w:abstractNumId w:val="16"/>
  </w:num>
  <w:num w:numId="26">
    <w:abstractNumId w:val="9"/>
  </w:num>
  <w:num w:numId="2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</w:num>
  <w:num w:numId="29">
    <w:abstractNumId w:val="29"/>
  </w:num>
  <w:num w:numId="30">
    <w:abstractNumId w:val="38"/>
  </w:num>
  <w:num w:numId="31">
    <w:abstractNumId w:val="13"/>
  </w:num>
  <w:num w:numId="32">
    <w:abstractNumId w:val="12"/>
  </w:num>
  <w:num w:numId="33">
    <w:abstractNumId w:val="6"/>
  </w:num>
  <w:num w:numId="34">
    <w:abstractNumId w:val="3"/>
  </w:num>
  <w:num w:numId="35">
    <w:abstractNumId w:val="41"/>
  </w:num>
  <w:num w:numId="36">
    <w:abstractNumId w:val="20"/>
  </w:num>
  <w:num w:numId="37">
    <w:abstractNumId w:val="26"/>
  </w:num>
  <w:num w:numId="38">
    <w:abstractNumId w:val="5"/>
  </w:num>
  <w:num w:numId="39">
    <w:abstractNumId w:val="22"/>
  </w:num>
  <w:num w:numId="40">
    <w:abstractNumId w:val="2"/>
  </w:num>
  <w:num w:numId="41">
    <w:abstractNumId w:val="10"/>
  </w:num>
  <w:num w:numId="42">
    <w:abstractNumId w:val="3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Q6SyQFZq8XVJE6KwkCnDMvJddaYUInD6Bb4lArcTwXsxkFFoT4i0AlezTQtA0P04q6IvXfkEqCGQ/MKJzfkQMw==" w:salt="fro43R1LdKyAcNvRvF0ccA==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>
      <o:colormru v:ext="edit" colors="#c00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B30"/>
    <w:rsid w:val="00002DB9"/>
    <w:rsid w:val="0002204C"/>
    <w:rsid w:val="00025C43"/>
    <w:rsid w:val="000344EE"/>
    <w:rsid w:val="00040919"/>
    <w:rsid w:val="00044A15"/>
    <w:rsid w:val="0005141E"/>
    <w:rsid w:val="00054B39"/>
    <w:rsid w:val="0005755E"/>
    <w:rsid w:val="0007287F"/>
    <w:rsid w:val="000742D7"/>
    <w:rsid w:val="00082507"/>
    <w:rsid w:val="00083CF2"/>
    <w:rsid w:val="00092240"/>
    <w:rsid w:val="000930B2"/>
    <w:rsid w:val="000943A4"/>
    <w:rsid w:val="000A3284"/>
    <w:rsid w:val="000A3D1C"/>
    <w:rsid w:val="000A4CA0"/>
    <w:rsid w:val="000A65C4"/>
    <w:rsid w:val="000C5385"/>
    <w:rsid w:val="000C7BB9"/>
    <w:rsid w:val="000D0AE8"/>
    <w:rsid w:val="000D1961"/>
    <w:rsid w:val="000D1A7A"/>
    <w:rsid w:val="000D5D19"/>
    <w:rsid w:val="000D7D7D"/>
    <w:rsid w:val="000E3C13"/>
    <w:rsid w:val="000E4A6E"/>
    <w:rsid w:val="000E6DF3"/>
    <w:rsid w:val="000F6076"/>
    <w:rsid w:val="00100BB6"/>
    <w:rsid w:val="00102C6C"/>
    <w:rsid w:val="0011008F"/>
    <w:rsid w:val="001109B8"/>
    <w:rsid w:val="001125E5"/>
    <w:rsid w:val="0011743B"/>
    <w:rsid w:val="00122160"/>
    <w:rsid w:val="001229F6"/>
    <w:rsid w:val="0012319A"/>
    <w:rsid w:val="00123A21"/>
    <w:rsid w:val="00125E21"/>
    <w:rsid w:val="00130132"/>
    <w:rsid w:val="00146ACC"/>
    <w:rsid w:val="00146FDF"/>
    <w:rsid w:val="001518A1"/>
    <w:rsid w:val="00151C37"/>
    <w:rsid w:val="00163022"/>
    <w:rsid w:val="00177101"/>
    <w:rsid w:val="00177645"/>
    <w:rsid w:val="00177858"/>
    <w:rsid w:val="0018269B"/>
    <w:rsid w:val="00183BC8"/>
    <w:rsid w:val="00185764"/>
    <w:rsid w:val="00186A15"/>
    <w:rsid w:val="001B16F9"/>
    <w:rsid w:val="001B7C28"/>
    <w:rsid w:val="001C0128"/>
    <w:rsid w:val="001C25FB"/>
    <w:rsid w:val="001D0A03"/>
    <w:rsid w:val="001D24F2"/>
    <w:rsid w:val="001D60B6"/>
    <w:rsid w:val="001E3743"/>
    <w:rsid w:val="001E3D23"/>
    <w:rsid w:val="001E4148"/>
    <w:rsid w:val="001F10F9"/>
    <w:rsid w:val="001F7025"/>
    <w:rsid w:val="001F768C"/>
    <w:rsid w:val="002005A9"/>
    <w:rsid w:val="0020179A"/>
    <w:rsid w:val="00205E69"/>
    <w:rsid w:val="00207393"/>
    <w:rsid w:val="00207D8A"/>
    <w:rsid w:val="00210D23"/>
    <w:rsid w:val="002372AB"/>
    <w:rsid w:val="0023788F"/>
    <w:rsid w:val="00240D11"/>
    <w:rsid w:val="00243922"/>
    <w:rsid w:val="00244D52"/>
    <w:rsid w:val="002542A2"/>
    <w:rsid w:val="00254BA5"/>
    <w:rsid w:val="002554EF"/>
    <w:rsid w:val="00262E7E"/>
    <w:rsid w:val="00263FD2"/>
    <w:rsid w:val="0026500E"/>
    <w:rsid w:val="002664B0"/>
    <w:rsid w:val="002702FA"/>
    <w:rsid w:val="00272F72"/>
    <w:rsid w:val="002742B1"/>
    <w:rsid w:val="00277456"/>
    <w:rsid w:val="00283491"/>
    <w:rsid w:val="00285271"/>
    <w:rsid w:val="00285D14"/>
    <w:rsid w:val="0028616C"/>
    <w:rsid w:val="002945A0"/>
    <w:rsid w:val="002956AB"/>
    <w:rsid w:val="00295E92"/>
    <w:rsid w:val="00295F86"/>
    <w:rsid w:val="002A183D"/>
    <w:rsid w:val="002A3594"/>
    <w:rsid w:val="002A45EB"/>
    <w:rsid w:val="002A49FF"/>
    <w:rsid w:val="002B2C7C"/>
    <w:rsid w:val="002B54BB"/>
    <w:rsid w:val="002B6FF1"/>
    <w:rsid w:val="002C0134"/>
    <w:rsid w:val="002D396B"/>
    <w:rsid w:val="002E365A"/>
    <w:rsid w:val="002E59E6"/>
    <w:rsid w:val="002F0375"/>
    <w:rsid w:val="00301BD1"/>
    <w:rsid w:val="00301DDA"/>
    <w:rsid w:val="003021B6"/>
    <w:rsid w:val="00304E07"/>
    <w:rsid w:val="003151C5"/>
    <w:rsid w:val="003256F7"/>
    <w:rsid w:val="00325974"/>
    <w:rsid w:val="003304AB"/>
    <w:rsid w:val="003335A8"/>
    <w:rsid w:val="003467E8"/>
    <w:rsid w:val="00346991"/>
    <w:rsid w:val="00347989"/>
    <w:rsid w:val="003530ED"/>
    <w:rsid w:val="00354156"/>
    <w:rsid w:val="00354FB3"/>
    <w:rsid w:val="00366733"/>
    <w:rsid w:val="00366E12"/>
    <w:rsid w:val="00375315"/>
    <w:rsid w:val="00377D6C"/>
    <w:rsid w:val="0038010B"/>
    <w:rsid w:val="00383A8D"/>
    <w:rsid w:val="00385715"/>
    <w:rsid w:val="0039185B"/>
    <w:rsid w:val="00396EDF"/>
    <w:rsid w:val="003A0E25"/>
    <w:rsid w:val="003A7263"/>
    <w:rsid w:val="003A74E2"/>
    <w:rsid w:val="003B0B1A"/>
    <w:rsid w:val="003B36CE"/>
    <w:rsid w:val="003C5D06"/>
    <w:rsid w:val="003C7515"/>
    <w:rsid w:val="003D2FDB"/>
    <w:rsid w:val="003E0BD4"/>
    <w:rsid w:val="003E2DD7"/>
    <w:rsid w:val="003E30CA"/>
    <w:rsid w:val="003E4B2F"/>
    <w:rsid w:val="003F11B6"/>
    <w:rsid w:val="003F175D"/>
    <w:rsid w:val="004004F2"/>
    <w:rsid w:val="004016F2"/>
    <w:rsid w:val="00403159"/>
    <w:rsid w:val="00403207"/>
    <w:rsid w:val="004073CA"/>
    <w:rsid w:val="00414DB6"/>
    <w:rsid w:val="00421E95"/>
    <w:rsid w:val="004245AB"/>
    <w:rsid w:val="00426AF1"/>
    <w:rsid w:val="00427021"/>
    <w:rsid w:val="00443985"/>
    <w:rsid w:val="00445EA8"/>
    <w:rsid w:val="00456A91"/>
    <w:rsid w:val="00461E96"/>
    <w:rsid w:val="004640D9"/>
    <w:rsid w:val="00466146"/>
    <w:rsid w:val="0047315A"/>
    <w:rsid w:val="00482BF7"/>
    <w:rsid w:val="0049404C"/>
    <w:rsid w:val="004A24F1"/>
    <w:rsid w:val="004A33CF"/>
    <w:rsid w:val="004B4765"/>
    <w:rsid w:val="004B4D96"/>
    <w:rsid w:val="004C15AB"/>
    <w:rsid w:val="004C1BE5"/>
    <w:rsid w:val="004C7EFB"/>
    <w:rsid w:val="004D0576"/>
    <w:rsid w:val="004D2A86"/>
    <w:rsid w:val="004D4D74"/>
    <w:rsid w:val="004E14ED"/>
    <w:rsid w:val="004E2569"/>
    <w:rsid w:val="004E3FD8"/>
    <w:rsid w:val="004E5BA4"/>
    <w:rsid w:val="004F42FB"/>
    <w:rsid w:val="004F63EC"/>
    <w:rsid w:val="00500584"/>
    <w:rsid w:val="00502DFD"/>
    <w:rsid w:val="00527A75"/>
    <w:rsid w:val="00532AA9"/>
    <w:rsid w:val="00542B5E"/>
    <w:rsid w:val="00545D1C"/>
    <w:rsid w:val="00546DC0"/>
    <w:rsid w:val="00550156"/>
    <w:rsid w:val="005520C8"/>
    <w:rsid w:val="00560CC3"/>
    <w:rsid w:val="005763C1"/>
    <w:rsid w:val="00587CF4"/>
    <w:rsid w:val="00591F81"/>
    <w:rsid w:val="005949FB"/>
    <w:rsid w:val="00597A37"/>
    <w:rsid w:val="005A3A3C"/>
    <w:rsid w:val="005A497D"/>
    <w:rsid w:val="005A4A92"/>
    <w:rsid w:val="005A5B7E"/>
    <w:rsid w:val="005A7F7F"/>
    <w:rsid w:val="005B2137"/>
    <w:rsid w:val="005B5027"/>
    <w:rsid w:val="005C2CBE"/>
    <w:rsid w:val="005D290B"/>
    <w:rsid w:val="005D334D"/>
    <w:rsid w:val="005D593A"/>
    <w:rsid w:val="005D6020"/>
    <w:rsid w:val="005D7C13"/>
    <w:rsid w:val="005E0F04"/>
    <w:rsid w:val="005E6DEF"/>
    <w:rsid w:val="005E7ED1"/>
    <w:rsid w:val="005EA792"/>
    <w:rsid w:val="005F104F"/>
    <w:rsid w:val="005F351F"/>
    <w:rsid w:val="006042EB"/>
    <w:rsid w:val="00604A03"/>
    <w:rsid w:val="00617099"/>
    <w:rsid w:val="006256B5"/>
    <w:rsid w:val="006314CA"/>
    <w:rsid w:val="00635ACC"/>
    <w:rsid w:val="00640227"/>
    <w:rsid w:val="00640364"/>
    <w:rsid w:val="006448E3"/>
    <w:rsid w:val="0065069D"/>
    <w:rsid w:val="0065093B"/>
    <w:rsid w:val="00656B95"/>
    <w:rsid w:val="00681BCC"/>
    <w:rsid w:val="00686010"/>
    <w:rsid w:val="0068792F"/>
    <w:rsid w:val="00690493"/>
    <w:rsid w:val="00695EA3"/>
    <w:rsid w:val="006960ED"/>
    <w:rsid w:val="00696E8F"/>
    <w:rsid w:val="006A2AC4"/>
    <w:rsid w:val="006A2DBF"/>
    <w:rsid w:val="006A4007"/>
    <w:rsid w:val="006B3B5F"/>
    <w:rsid w:val="006B7824"/>
    <w:rsid w:val="006C000E"/>
    <w:rsid w:val="006C2F83"/>
    <w:rsid w:val="006D2AF2"/>
    <w:rsid w:val="006D43AA"/>
    <w:rsid w:val="006D7D96"/>
    <w:rsid w:val="006E1145"/>
    <w:rsid w:val="006E1C23"/>
    <w:rsid w:val="006E7858"/>
    <w:rsid w:val="006F6044"/>
    <w:rsid w:val="006F66F4"/>
    <w:rsid w:val="00705AB3"/>
    <w:rsid w:val="00706A85"/>
    <w:rsid w:val="007072F3"/>
    <w:rsid w:val="00710E15"/>
    <w:rsid w:val="00712094"/>
    <w:rsid w:val="00715820"/>
    <w:rsid w:val="00715B31"/>
    <w:rsid w:val="00724867"/>
    <w:rsid w:val="007263D3"/>
    <w:rsid w:val="00730EFC"/>
    <w:rsid w:val="00732FBA"/>
    <w:rsid w:val="007374C6"/>
    <w:rsid w:val="00740A08"/>
    <w:rsid w:val="00740EAA"/>
    <w:rsid w:val="00742E01"/>
    <w:rsid w:val="00746B6F"/>
    <w:rsid w:val="00760B6B"/>
    <w:rsid w:val="00766F93"/>
    <w:rsid w:val="00775846"/>
    <w:rsid w:val="00777514"/>
    <w:rsid w:val="00782BEA"/>
    <w:rsid w:val="0078434F"/>
    <w:rsid w:val="00784A44"/>
    <w:rsid w:val="00790BB9"/>
    <w:rsid w:val="00792D0B"/>
    <w:rsid w:val="00797391"/>
    <w:rsid w:val="007A1EE0"/>
    <w:rsid w:val="007A222D"/>
    <w:rsid w:val="007A3387"/>
    <w:rsid w:val="007A5E15"/>
    <w:rsid w:val="007B293C"/>
    <w:rsid w:val="007B56E9"/>
    <w:rsid w:val="007B5D05"/>
    <w:rsid w:val="007B65EB"/>
    <w:rsid w:val="007C50FF"/>
    <w:rsid w:val="007D240C"/>
    <w:rsid w:val="007D3DB4"/>
    <w:rsid w:val="007E26D1"/>
    <w:rsid w:val="007F3903"/>
    <w:rsid w:val="00802F19"/>
    <w:rsid w:val="00803974"/>
    <w:rsid w:val="00804798"/>
    <w:rsid w:val="008075DE"/>
    <w:rsid w:val="008076F2"/>
    <w:rsid w:val="008177C1"/>
    <w:rsid w:val="00824808"/>
    <w:rsid w:val="00825873"/>
    <w:rsid w:val="00847A48"/>
    <w:rsid w:val="0085106C"/>
    <w:rsid w:val="00854933"/>
    <w:rsid w:val="008633E4"/>
    <w:rsid w:val="00870677"/>
    <w:rsid w:val="00875DB2"/>
    <w:rsid w:val="00876F20"/>
    <w:rsid w:val="00877474"/>
    <w:rsid w:val="00891F46"/>
    <w:rsid w:val="00892246"/>
    <w:rsid w:val="00892395"/>
    <w:rsid w:val="00892C1B"/>
    <w:rsid w:val="0089770A"/>
    <w:rsid w:val="008B2153"/>
    <w:rsid w:val="008B5DDB"/>
    <w:rsid w:val="008C6180"/>
    <w:rsid w:val="008E301D"/>
    <w:rsid w:val="008E514E"/>
    <w:rsid w:val="008F5D84"/>
    <w:rsid w:val="008F771C"/>
    <w:rsid w:val="00903951"/>
    <w:rsid w:val="00904988"/>
    <w:rsid w:val="00905057"/>
    <w:rsid w:val="00912C39"/>
    <w:rsid w:val="009162CF"/>
    <w:rsid w:val="0092008A"/>
    <w:rsid w:val="00931AF3"/>
    <w:rsid w:val="00934AAD"/>
    <w:rsid w:val="009414B5"/>
    <w:rsid w:val="00941E41"/>
    <w:rsid w:val="009441F5"/>
    <w:rsid w:val="0094712B"/>
    <w:rsid w:val="00950BB1"/>
    <w:rsid w:val="00960199"/>
    <w:rsid w:val="0096164F"/>
    <w:rsid w:val="009752E2"/>
    <w:rsid w:val="00977816"/>
    <w:rsid w:val="00977F1D"/>
    <w:rsid w:val="00981E85"/>
    <w:rsid w:val="0099316A"/>
    <w:rsid w:val="00994658"/>
    <w:rsid w:val="009956A1"/>
    <w:rsid w:val="00997D2E"/>
    <w:rsid w:val="009B5738"/>
    <w:rsid w:val="009B5A69"/>
    <w:rsid w:val="009C0215"/>
    <w:rsid w:val="009C4E81"/>
    <w:rsid w:val="009C60B1"/>
    <w:rsid w:val="009D20CF"/>
    <w:rsid w:val="009D663A"/>
    <w:rsid w:val="009E1A74"/>
    <w:rsid w:val="009E30E3"/>
    <w:rsid w:val="009E5315"/>
    <w:rsid w:val="009E64FF"/>
    <w:rsid w:val="009E7BA4"/>
    <w:rsid w:val="009F5992"/>
    <w:rsid w:val="009F659F"/>
    <w:rsid w:val="009F7481"/>
    <w:rsid w:val="009F793A"/>
    <w:rsid w:val="00A14692"/>
    <w:rsid w:val="00A15574"/>
    <w:rsid w:val="00A1563E"/>
    <w:rsid w:val="00A15674"/>
    <w:rsid w:val="00A22161"/>
    <w:rsid w:val="00A23711"/>
    <w:rsid w:val="00A26E47"/>
    <w:rsid w:val="00A27F4E"/>
    <w:rsid w:val="00A30A51"/>
    <w:rsid w:val="00A334E3"/>
    <w:rsid w:val="00A34C09"/>
    <w:rsid w:val="00A42280"/>
    <w:rsid w:val="00A42CC3"/>
    <w:rsid w:val="00A5129F"/>
    <w:rsid w:val="00A5263A"/>
    <w:rsid w:val="00A53739"/>
    <w:rsid w:val="00A628C7"/>
    <w:rsid w:val="00A62A6D"/>
    <w:rsid w:val="00A62E8B"/>
    <w:rsid w:val="00A671B7"/>
    <w:rsid w:val="00A72117"/>
    <w:rsid w:val="00A75FAD"/>
    <w:rsid w:val="00A8115D"/>
    <w:rsid w:val="00A86FA5"/>
    <w:rsid w:val="00A87786"/>
    <w:rsid w:val="00A90441"/>
    <w:rsid w:val="00A9700E"/>
    <w:rsid w:val="00AA6DE7"/>
    <w:rsid w:val="00AA78A7"/>
    <w:rsid w:val="00AC59B1"/>
    <w:rsid w:val="00AC70D7"/>
    <w:rsid w:val="00AD12A0"/>
    <w:rsid w:val="00AE3DF6"/>
    <w:rsid w:val="00AF09A3"/>
    <w:rsid w:val="00AF65F5"/>
    <w:rsid w:val="00B03C47"/>
    <w:rsid w:val="00B03DBC"/>
    <w:rsid w:val="00B0557B"/>
    <w:rsid w:val="00B12E0C"/>
    <w:rsid w:val="00B16CC6"/>
    <w:rsid w:val="00B23620"/>
    <w:rsid w:val="00B314C9"/>
    <w:rsid w:val="00B32DF5"/>
    <w:rsid w:val="00B34023"/>
    <w:rsid w:val="00B34DF6"/>
    <w:rsid w:val="00B356B4"/>
    <w:rsid w:val="00B47707"/>
    <w:rsid w:val="00B521C8"/>
    <w:rsid w:val="00B53FF2"/>
    <w:rsid w:val="00B66D0D"/>
    <w:rsid w:val="00B70E8C"/>
    <w:rsid w:val="00B747A9"/>
    <w:rsid w:val="00B77ECA"/>
    <w:rsid w:val="00B8053A"/>
    <w:rsid w:val="00B93456"/>
    <w:rsid w:val="00B93AFE"/>
    <w:rsid w:val="00B9566B"/>
    <w:rsid w:val="00B95ED5"/>
    <w:rsid w:val="00B96D69"/>
    <w:rsid w:val="00B9790E"/>
    <w:rsid w:val="00BA15A6"/>
    <w:rsid w:val="00BA16DE"/>
    <w:rsid w:val="00BB0914"/>
    <w:rsid w:val="00BB73A3"/>
    <w:rsid w:val="00BC4539"/>
    <w:rsid w:val="00BC6DF6"/>
    <w:rsid w:val="00BC6F8F"/>
    <w:rsid w:val="00BE0B0D"/>
    <w:rsid w:val="00BE16FA"/>
    <w:rsid w:val="00BE1ACC"/>
    <w:rsid w:val="00C0257C"/>
    <w:rsid w:val="00C13D8E"/>
    <w:rsid w:val="00C21627"/>
    <w:rsid w:val="00C2353D"/>
    <w:rsid w:val="00C237B3"/>
    <w:rsid w:val="00C276DF"/>
    <w:rsid w:val="00C31C91"/>
    <w:rsid w:val="00C3205C"/>
    <w:rsid w:val="00C60B36"/>
    <w:rsid w:val="00C62FBD"/>
    <w:rsid w:val="00C643ED"/>
    <w:rsid w:val="00C66714"/>
    <w:rsid w:val="00C71382"/>
    <w:rsid w:val="00C73218"/>
    <w:rsid w:val="00C74EFC"/>
    <w:rsid w:val="00C76255"/>
    <w:rsid w:val="00C82699"/>
    <w:rsid w:val="00C87C48"/>
    <w:rsid w:val="00C9271F"/>
    <w:rsid w:val="00C94290"/>
    <w:rsid w:val="00CA10E3"/>
    <w:rsid w:val="00CA4E34"/>
    <w:rsid w:val="00CA73AB"/>
    <w:rsid w:val="00CA7E6E"/>
    <w:rsid w:val="00CB1630"/>
    <w:rsid w:val="00CB2384"/>
    <w:rsid w:val="00CB6F0B"/>
    <w:rsid w:val="00CB708B"/>
    <w:rsid w:val="00CC1544"/>
    <w:rsid w:val="00CC253A"/>
    <w:rsid w:val="00CC25BB"/>
    <w:rsid w:val="00CD50A9"/>
    <w:rsid w:val="00CD73D2"/>
    <w:rsid w:val="00CD73DF"/>
    <w:rsid w:val="00CE5C09"/>
    <w:rsid w:val="00CE5DF6"/>
    <w:rsid w:val="00CF1DE8"/>
    <w:rsid w:val="00CF5BE6"/>
    <w:rsid w:val="00D0024B"/>
    <w:rsid w:val="00D00D67"/>
    <w:rsid w:val="00D033F5"/>
    <w:rsid w:val="00D04567"/>
    <w:rsid w:val="00D0612F"/>
    <w:rsid w:val="00D06E02"/>
    <w:rsid w:val="00D13998"/>
    <w:rsid w:val="00D1439D"/>
    <w:rsid w:val="00D16DF0"/>
    <w:rsid w:val="00D20661"/>
    <w:rsid w:val="00D30995"/>
    <w:rsid w:val="00D44F42"/>
    <w:rsid w:val="00D479C0"/>
    <w:rsid w:val="00D51215"/>
    <w:rsid w:val="00D54A62"/>
    <w:rsid w:val="00D54D2F"/>
    <w:rsid w:val="00D568A8"/>
    <w:rsid w:val="00D6688B"/>
    <w:rsid w:val="00D70333"/>
    <w:rsid w:val="00D70354"/>
    <w:rsid w:val="00D711C3"/>
    <w:rsid w:val="00D73A5F"/>
    <w:rsid w:val="00D76AA4"/>
    <w:rsid w:val="00D8396E"/>
    <w:rsid w:val="00D8465B"/>
    <w:rsid w:val="00D852E7"/>
    <w:rsid w:val="00D95075"/>
    <w:rsid w:val="00D977A0"/>
    <w:rsid w:val="00DA0303"/>
    <w:rsid w:val="00DA3E06"/>
    <w:rsid w:val="00DB4992"/>
    <w:rsid w:val="00DB52E6"/>
    <w:rsid w:val="00DC6236"/>
    <w:rsid w:val="00DC7E22"/>
    <w:rsid w:val="00DD016F"/>
    <w:rsid w:val="00DD50F0"/>
    <w:rsid w:val="00DE0A3F"/>
    <w:rsid w:val="00DE0F82"/>
    <w:rsid w:val="00DE2C75"/>
    <w:rsid w:val="00DF20CF"/>
    <w:rsid w:val="00E00B0B"/>
    <w:rsid w:val="00E01A29"/>
    <w:rsid w:val="00E03E3D"/>
    <w:rsid w:val="00E10586"/>
    <w:rsid w:val="00E12A57"/>
    <w:rsid w:val="00E1606A"/>
    <w:rsid w:val="00E1666A"/>
    <w:rsid w:val="00E25E05"/>
    <w:rsid w:val="00E36A55"/>
    <w:rsid w:val="00E42598"/>
    <w:rsid w:val="00E46982"/>
    <w:rsid w:val="00E5070B"/>
    <w:rsid w:val="00E50784"/>
    <w:rsid w:val="00E52E74"/>
    <w:rsid w:val="00E80494"/>
    <w:rsid w:val="00E82766"/>
    <w:rsid w:val="00E97203"/>
    <w:rsid w:val="00EA3912"/>
    <w:rsid w:val="00EA5C55"/>
    <w:rsid w:val="00EB28CB"/>
    <w:rsid w:val="00EB7CEF"/>
    <w:rsid w:val="00EC17BF"/>
    <w:rsid w:val="00EC2367"/>
    <w:rsid w:val="00ED1C99"/>
    <w:rsid w:val="00ED39D3"/>
    <w:rsid w:val="00ED66A4"/>
    <w:rsid w:val="00ED6BBB"/>
    <w:rsid w:val="00EE07C1"/>
    <w:rsid w:val="00EE0EB0"/>
    <w:rsid w:val="00EE14C7"/>
    <w:rsid w:val="00EE3694"/>
    <w:rsid w:val="00EF322C"/>
    <w:rsid w:val="00EF43FC"/>
    <w:rsid w:val="00EF57DD"/>
    <w:rsid w:val="00F0378B"/>
    <w:rsid w:val="00F119B9"/>
    <w:rsid w:val="00F128ED"/>
    <w:rsid w:val="00F12AFE"/>
    <w:rsid w:val="00F2425D"/>
    <w:rsid w:val="00F3105C"/>
    <w:rsid w:val="00F338FF"/>
    <w:rsid w:val="00F343F0"/>
    <w:rsid w:val="00F46DF5"/>
    <w:rsid w:val="00F52F3E"/>
    <w:rsid w:val="00F53ABA"/>
    <w:rsid w:val="00F60E4B"/>
    <w:rsid w:val="00F625ED"/>
    <w:rsid w:val="00F659F7"/>
    <w:rsid w:val="00F81267"/>
    <w:rsid w:val="00FA365A"/>
    <w:rsid w:val="00FB1B26"/>
    <w:rsid w:val="00FB42DB"/>
    <w:rsid w:val="00FB5662"/>
    <w:rsid w:val="00FC2FCB"/>
    <w:rsid w:val="00FC39BF"/>
    <w:rsid w:val="00FD6487"/>
    <w:rsid w:val="00FE0898"/>
    <w:rsid w:val="00FE2425"/>
    <w:rsid w:val="00FE4B30"/>
    <w:rsid w:val="00FE738C"/>
    <w:rsid w:val="00FF7AAE"/>
    <w:rsid w:val="028BC5BA"/>
    <w:rsid w:val="03BCC7BD"/>
    <w:rsid w:val="045872D6"/>
    <w:rsid w:val="05546A39"/>
    <w:rsid w:val="05C89708"/>
    <w:rsid w:val="07C2E7AA"/>
    <w:rsid w:val="097EF77F"/>
    <w:rsid w:val="0A1FEDD6"/>
    <w:rsid w:val="0A27DB5C"/>
    <w:rsid w:val="0A4EAB94"/>
    <w:rsid w:val="0D285A27"/>
    <w:rsid w:val="0D578E98"/>
    <w:rsid w:val="0E5C96FA"/>
    <w:rsid w:val="0E699854"/>
    <w:rsid w:val="0EE56309"/>
    <w:rsid w:val="0F74D2FD"/>
    <w:rsid w:val="122AFFBB"/>
    <w:rsid w:val="13179F13"/>
    <w:rsid w:val="13CD9C21"/>
    <w:rsid w:val="14C18ADB"/>
    <w:rsid w:val="1556C56C"/>
    <w:rsid w:val="169D65EF"/>
    <w:rsid w:val="17065E64"/>
    <w:rsid w:val="18CCCE67"/>
    <w:rsid w:val="1960D3DF"/>
    <w:rsid w:val="1A343285"/>
    <w:rsid w:val="1CAC7C97"/>
    <w:rsid w:val="1DE4934C"/>
    <w:rsid w:val="1E484CF8"/>
    <w:rsid w:val="1F4D4AC2"/>
    <w:rsid w:val="1FA1FC70"/>
    <w:rsid w:val="2349F5CA"/>
    <w:rsid w:val="23C82E9D"/>
    <w:rsid w:val="2553817A"/>
    <w:rsid w:val="265B4C63"/>
    <w:rsid w:val="284F484C"/>
    <w:rsid w:val="2C67F8DA"/>
    <w:rsid w:val="2CC2A061"/>
    <w:rsid w:val="2CCA8DE7"/>
    <w:rsid w:val="2D38B9BB"/>
    <w:rsid w:val="30FBE444"/>
    <w:rsid w:val="31CD5B58"/>
    <w:rsid w:val="32518D7A"/>
    <w:rsid w:val="34D59FCC"/>
    <w:rsid w:val="3507C317"/>
    <w:rsid w:val="369C0FCF"/>
    <w:rsid w:val="382B8A4F"/>
    <w:rsid w:val="39A910EF"/>
    <w:rsid w:val="3A893B5D"/>
    <w:rsid w:val="3BE45283"/>
    <w:rsid w:val="3CE0B1B1"/>
    <w:rsid w:val="3DF4FCAC"/>
    <w:rsid w:val="3E6065D3"/>
    <w:rsid w:val="3EB5AACA"/>
    <w:rsid w:val="4095625D"/>
    <w:rsid w:val="41CD55C9"/>
    <w:rsid w:val="428EBD6A"/>
    <w:rsid w:val="43F8BA40"/>
    <w:rsid w:val="44970FB5"/>
    <w:rsid w:val="46B4C18A"/>
    <w:rsid w:val="470A5E98"/>
    <w:rsid w:val="47278B74"/>
    <w:rsid w:val="47622E8D"/>
    <w:rsid w:val="4816ACA2"/>
    <w:rsid w:val="4D68C9EC"/>
    <w:rsid w:val="4D8A483A"/>
    <w:rsid w:val="4EFC4820"/>
    <w:rsid w:val="4F15707D"/>
    <w:rsid w:val="4F29E676"/>
    <w:rsid w:val="4F4652AD"/>
    <w:rsid w:val="4FC35471"/>
    <w:rsid w:val="52728152"/>
    <w:rsid w:val="537F7BCA"/>
    <w:rsid w:val="556B89A4"/>
    <w:rsid w:val="571D0D43"/>
    <w:rsid w:val="584547B6"/>
    <w:rsid w:val="5B19544B"/>
    <w:rsid w:val="5B3B0EF0"/>
    <w:rsid w:val="5FB4B7DC"/>
    <w:rsid w:val="60379134"/>
    <w:rsid w:val="63E1568A"/>
    <w:rsid w:val="66611B0B"/>
    <w:rsid w:val="685D54BE"/>
    <w:rsid w:val="68C13BB6"/>
    <w:rsid w:val="6A1E0975"/>
    <w:rsid w:val="6B81A004"/>
    <w:rsid w:val="6C8AB749"/>
    <w:rsid w:val="6D2B4703"/>
    <w:rsid w:val="6EE03FC1"/>
    <w:rsid w:val="6F6488CD"/>
    <w:rsid w:val="6F884D2F"/>
    <w:rsid w:val="70032A4A"/>
    <w:rsid w:val="70EE046B"/>
    <w:rsid w:val="70F6ED3D"/>
    <w:rsid w:val="719EFAAB"/>
    <w:rsid w:val="7217E083"/>
    <w:rsid w:val="73FB8EB0"/>
    <w:rsid w:val="742E8DFF"/>
    <w:rsid w:val="74732007"/>
    <w:rsid w:val="74D69B6D"/>
    <w:rsid w:val="76E36420"/>
    <w:rsid w:val="7A03A6E1"/>
    <w:rsid w:val="7AF6C94F"/>
    <w:rsid w:val="7E466897"/>
    <w:rsid w:val="7EEC079B"/>
    <w:rsid w:val="7F931269"/>
    <w:rsid w:val="7FC30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c00"/>
    </o:shapedefaults>
    <o:shapelayout v:ext="edit">
      <o:idmap v:ext="edit" data="1"/>
    </o:shapelayout>
  </w:shapeDefaults>
  <w:decimalSymbol w:val="."/>
  <w:listSeparator w:val=","/>
  <w14:docId w14:val="086F2D44"/>
  <w15:docId w15:val="{5AB948B0-4712-4ECC-A6D9-AFF4EE83A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70333"/>
    <w:rPr>
      <w:sz w:val="24"/>
      <w:szCs w:val="24"/>
    </w:rPr>
  </w:style>
  <w:style w:type="paragraph" w:styleId="Heading1">
    <w:name w:val="heading 1"/>
    <w:basedOn w:val="Normal"/>
    <w:next w:val="Normal"/>
    <w:qFormat/>
    <w:rsid w:val="00427021"/>
    <w:pPr>
      <w:keepNext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rsid w:val="00427021"/>
    <w:pPr>
      <w:keepNext/>
      <w:outlineLvl w:val="1"/>
    </w:pPr>
    <w:rPr>
      <w:sz w:val="28"/>
      <w:u w:val="single"/>
    </w:rPr>
  </w:style>
  <w:style w:type="paragraph" w:styleId="Heading3">
    <w:name w:val="heading 3"/>
    <w:basedOn w:val="Normal"/>
    <w:next w:val="Normal"/>
    <w:qFormat/>
    <w:rsid w:val="00427021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427021"/>
    <w:pPr>
      <w:keepNext/>
      <w:outlineLvl w:val="3"/>
    </w:pPr>
    <w:rPr>
      <w:b/>
      <w:bCs/>
      <w:sz w:val="28"/>
      <w:u w:val="single"/>
    </w:rPr>
  </w:style>
  <w:style w:type="paragraph" w:styleId="Heading5">
    <w:name w:val="heading 5"/>
    <w:basedOn w:val="Normal"/>
    <w:next w:val="Normal"/>
    <w:qFormat/>
    <w:rsid w:val="00427021"/>
    <w:pPr>
      <w:keepNext/>
      <w:ind w:left="1440"/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rsid w:val="00427021"/>
    <w:pPr>
      <w:keepNext/>
      <w:outlineLvl w:val="5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427021"/>
    <w:pPr>
      <w:ind w:left="1080"/>
    </w:pPr>
  </w:style>
  <w:style w:type="paragraph" w:styleId="Header">
    <w:name w:val="header"/>
    <w:basedOn w:val="Normal"/>
    <w:link w:val="HeaderChar"/>
    <w:uiPriority w:val="99"/>
    <w:rsid w:val="0042702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next w:val="NoSpacing"/>
    <w:link w:val="FooterChar"/>
    <w:uiPriority w:val="99"/>
    <w:rsid w:val="00427021"/>
    <w:pPr>
      <w:tabs>
        <w:tab w:val="center" w:pos="4320"/>
        <w:tab w:val="right" w:pos="8640"/>
      </w:tabs>
    </w:pPr>
  </w:style>
  <w:style w:type="paragraph" w:styleId="BodyTextIndent2">
    <w:name w:val="Body Text Indent 2"/>
    <w:basedOn w:val="Normal"/>
    <w:rsid w:val="00427021"/>
    <w:pPr>
      <w:ind w:left="1980"/>
    </w:pPr>
  </w:style>
  <w:style w:type="character" w:styleId="PageNumber">
    <w:name w:val="page number"/>
    <w:basedOn w:val="DefaultParagraphFont"/>
    <w:rsid w:val="00427021"/>
  </w:style>
  <w:style w:type="paragraph" w:styleId="BodyTextIndent3">
    <w:name w:val="Body Text Indent 3"/>
    <w:basedOn w:val="Normal"/>
    <w:rsid w:val="00427021"/>
    <w:pPr>
      <w:ind w:left="1440" w:hanging="360"/>
    </w:pPr>
  </w:style>
  <w:style w:type="character" w:styleId="Hyperlink">
    <w:name w:val="Hyperlink"/>
    <w:rsid w:val="00427021"/>
    <w:rPr>
      <w:color w:val="0000FF"/>
      <w:u w:val="single"/>
    </w:rPr>
  </w:style>
  <w:style w:type="character" w:styleId="FollowedHyperlink">
    <w:name w:val="FollowedHyperlink"/>
    <w:rsid w:val="00427021"/>
    <w:rPr>
      <w:color w:val="800080"/>
      <w:u w:val="single"/>
    </w:rPr>
  </w:style>
  <w:style w:type="paragraph" w:styleId="BodyText">
    <w:name w:val="Body Text"/>
    <w:basedOn w:val="Normal"/>
    <w:rsid w:val="00427021"/>
    <w:pPr>
      <w:jc w:val="both"/>
    </w:pPr>
    <w:rPr>
      <w:rFonts w:ascii="Bookman Old Style" w:hAnsi="Bookman Old Style"/>
    </w:rPr>
  </w:style>
  <w:style w:type="paragraph" w:styleId="EnvelopeReturn">
    <w:name w:val="envelope return"/>
    <w:basedOn w:val="Normal"/>
    <w:rsid w:val="00427021"/>
    <w:rPr>
      <w:rFonts w:ascii="Bookman Old Style" w:hAnsi="Bookman Old Style" w:cs="Arial"/>
      <w:sz w:val="20"/>
      <w:szCs w:val="20"/>
    </w:rPr>
  </w:style>
  <w:style w:type="paragraph" w:styleId="BodyText2">
    <w:name w:val="Body Text 2"/>
    <w:basedOn w:val="Normal"/>
    <w:rsid w:val="00427021"/>
    <w:rPr>
      <w:rFonts w:ascii="Bookman Old Style" w:hAnsi="Bookman Old Style"/>
      <w:color w:val="99CCFF"/>
      <w:sz w:val="10"/>
    </w:rPr>
  </w:style>
  <w:style w:type="paragraph" w:styleId="BodyText3">
    <w:name w:val="Body Text 3"/>
    <w:basedOn w:val="Normal"/>
    <w:rsid w:val="00427021"/>
    <w:pPr>
      <w:jc w:val="center"/>
    </w:pPr>
    <w:rPr>
      <w:rFonts w:ascii="Bookman Old Style" w:hAnsi="Bookman Old Style"/>
      <w:b/>
      <w:bCs/>
      <w:sz w:val="20"/>
    </w:rPr>
  </w:style>
  <w:style w:type="paragraph" w:styleId="ListParagraph">
    <w:name w:val="List Paragraph"/>
    <w:basedOn w:val="Normal"/>
    <w:uiPriority w:val="34"/>
    <w:qFormat/>
    <w:rsid w:val="00207393"/>
    <w:pPr>
      <w:spacing w:after="200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2073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0739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54B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rsid w:val="00D0612F"/>
  </w:style>
  <w:style w:type="character" w:customStyle="1" w:styleId="HeaderChar">
    <w:name w:val="Header Char"/>
    <w:link w:val="Header"/>
    <w:uiPriority w:val="99"/>
    <w:rsid w:val="002F0375"/>
    <w:rPr>
      <w:sz w:val="24"/>
      <w:szCs w:val="24"/>
    </w:rPr>
  </w:style>
  <w:style w:type="paragraph" w:customStyle="1" w:styleId="3372873BB58A4DED866D2BE34882C06C">
    <w:name w:val="3372873BB58A4DED866D2BE34882C06C"/>
    <w:rsid w:val="002F0375"/>
    <w:pPr>
      <w:spacing w:after="200" w:line="276" w:lineRule="auto"/>
    </w:pPr>
    <w:rPr>
      <w:rFonts w:ascii="Calibri" w:eastAsia="MS Mincho" w:hAnsi="Calibri" w:cs="Arial"/>
      <w:sz w:val="22"/>
      <w:szCs w:val="22"/>
      <w:lang w:eastAsia="ja-JP"/>
    </w:rPr>
  </w:style>
  <w:style w:type="character" w:customStyle="1" w:styleId="FooterChar">
    <w:name w:val="Footer Char"/>
    <w:link w:val="Footer"/>
    <w:uiPriority w:val="99"/>
    <w:rsid w:val="00466146"/>
    <w:rPr>
      <w:sz w:val="24"/>
      <w:szCs w:val="24"/>
    </w:rPr>
  </w:style>
  <w:style w:type="character" w:styleId="CommentReference">
    <w:name w:val="annotation reference"/>
    <w:rsid w:val="00F659F7"/>
    <w:rPr>
      <w:sz w:val="16"/>
      <w:szCs w:val="16"/>
    </w:rPr>
  </w:style>
  <w:style w:type="paragraph" w:styleId="CommentText">
    <w:name w:val="annotation text"/>
    <w:basedOn w:val="Normal"/>
    <w:link w:val="CommentTextChar"/>
    <w:rsid w:val="00F659F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659F7"/>
  </w:style>
  <w:style w:type="paragraph" w:styleId="CommentSubject">
    <w:name w:val="annotation subject"/>
    <w:basedOn w:val="CommentText"/>
    <w:next w:val="CommentText"/>
    <w:link w:val="CommentSubjectChar"/>
    <w:rsid w:val="00F659F7"/>
    <w:rPr>
      <w:b/>
      <w:bCs/>
    </w:rPr>
  </w:style>
  <w:style w:type="character" w:customStyle="1" w:styleId="CommentSubjectChar">
    <w:name w:val="Comment Subject Char"/>
    <w:link w:val="CommentSubject"/>
    <w:rsid w:val="00F659F7"/>
    <w:rPr>
      <w:b/>
      <w:bCs/>
    </w:rPr>
  </w:style>
  <w:style w:type="paragraph" w:styleId="NoSpacing">
    <w:name w:val="No Spacing"/>
    <w:uiPriority w:val="1"/>
    <w:qFormat/>
    <w:rsid w:val="00C643ED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EE14C7"/>
    <w:rPr>
      <w:color w:val="808080"/>
    </w:rPr>
  </w:style>
  <w:style w:type="paragraph" w:styleId="Caption">
    <w:name w:val="caption"/>
    <w:basedOn w:val="Normal"/>
    <w:next w:val="Normal"/>
    <w:unhideWhenUsed/>
    <w:qFormat/>
    <w:rsid w:val="00587CF4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6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4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BE31A9DB36A468DAD2D7AFA40EF17" ma:contentTypeVersion="35" ma:contentTypeDescription="Create a new document." ma:contentTypeScope="" ma:versionID="7450f65ed330ab308892081a5f079024">
  <xsd:schema xmlns:xsd="http://www.w3.org/2001/XMLSchema" xmlns:xs="http://www.w3.org/2001/XMLSchema" xmlns:p="http://schemas.microsoft.com/office/2006/metadata/properties" xmlns:ns1="http://schemas.microsoft.com/sharepoint/v3" xmlns:ns2="87c03cdd-cb60-40ba-8304-69bb9b343a64" xmlns:ns3="ac907f40-6a18-4877-a0a9-95aafcda5187" targetNamespace="http://schemas.microsoft.com/office/2006/metadata/properties" ma:root="true" ma:fieldsID="4b955f6f7a4a150b193ae92a9bab9ad9" ns1:_="" ns2:_="" ns3:_="">
    <xsd:import namespace="http://schemas.microsoft.com/sharepoint/v3"/>
    <xsd:import namespace="87c03cdd-cb60-40ba-8304-69bb9b343a64"/>
    <xsd:import namespace="ac907f40-6a18-4877-a0a9-95aafcda5187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4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4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c03cdd-cb60-40ba-8304-69bb9b343a64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3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907f40-6a18-4877-a0a9-95aafcda5187" elementFormDefault="qualified">
    <xsd:import namespace="http://schemas.microsoft.com/office/2006/documentManagement/types"/>
    <xsd:import namespace="http://schemas.microsoft.com/office/infopath/2007/PartnerControls"/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c907f40-6a18-4877-a0a9-95aafcda5187">
      <UserInfo>
        <DisplayName/>
        <AccountId xsi:nil="true"/>
        <AccountType/>
      </UserInfo>
    </SharedWithUsers>
    <TeamsChannelId xmlns="87c03cdd-cb60-40ba-8304-69bb9b343a64" xsi:nil="true"/>
    <Self_Registration_Enabled xmlns="87c03cdd-cb60-40ba-8304-69bb9b343a64" xsi:nil="true"/>
    <CultureName xmlns="87c03cdd-cb60-40ba-8304-69bb9b343a64" xsi:nil="true"/>
    <AppVersion xmlns="87c03cdd-cb60-40ba-8304-69bb9b343a64" xsi:nil="true"/>
    <Invited_Members xmlns="87c03cdd-cb60-40ba-8304-69bb9b343a64" xsi:nil="true"/>
    <Math_Settings xmlns="87c03cdd-cb60-40ba-8304-69bb9b343a64" xsi:nil="true"/>
    <Members xmlns="87c03cdd-cb60-40ba-8304-69bb9b343a64">
      <UserInfo>
        <DisplayName/>
        <AccountId xsi:nil="true"/>
        <AccountType/>
      </UserInfo>
    </Members>
    <Member_Groups xmlns="87c03cdd-cb60-40ba-8304-69bb9b343a64">
      <UserInfo>
        <DisplayName/>
        <AccountId xsi:nil="true"/>
        <AccountType/>
      </UserInfo>
    </Member_Groups>
    <Has_Leaders_Only_SectionGroup xmlns="87c03cdd-cb60-40ba-8304-69bb9b343a64" xsi:nil="true"/>
    <Owner xmlns="87c03cdd-cb60-40ba-8304-69bb9b343a64">
      <UserInfo>
        <DisplayName/>
        <AccountId xsi:nil="true"/>
        <AccountType/>
      </UserInfo>
    </Owner>
    <LMS_Mappings xmlns="87c03cdd-cb60-40ba-8304-69bb9b343a64" xsi:nil="true"/>
    <Is_Collaboration_Space_Locked xmlns="87c03cdd-cb60-40ba-8304-69bb9b343a64" xsi:nil="true"/>
    <NotebookType xmlns="87c03cdd-cb60-40ba-8304-69bb9b343a64" xsi:nil="true"/>
    <Leaders xmlns="87c03cdd-cb60-40ba-8304-69bb9b343a64">
      <UserInfo>
        <DisplayName/>
        <AccountId xsi:nil="true"/>
        <AccountType/>
      </UserInfo>
    </Leaders>
    <Distribution_Groups xmlns="87c03cdd-cb60-40ba-8304-69bb9b343a64" xsi:nil="true"/>
    <Invited_Leaders xmlns="87c03cdd-cb60-40ba-8304-69bb9b343a64" xsi:nil="true"/>
    <IsNotebookLocked xmlns="87c03cdd-cb60-40ba-8304-69bb9b343a64" xsi:nil="true"/>
    <DefaultSectionNames xmlns="87c03cdd-cb60-40ba-8304-69bb9b343a64" xsi:nil="true"/>
    <Templates xmlns="87c03cdd-cb60-40ba-8304-69bb9b343a64" xsi:nil="true"/>
    <FolderType xmlns="87c03cdd-cb60-40ba-8304-69bb9b343a64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CB175F-9452-4AF3-ADF2-3EA2795A7D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7c03cdd-cb60-40ba-8304-69bb9b343a64"/>
    <ds:schemaRef ds:uri="ac907f40-6a18-4877-a0a9-95aafcda51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5ECEF3-4FDD-4C76-83F4-C1DDDA2D53CD}">
  <ds:schemaRefs>
    <ds:schemaRef ds:uri="http://schemas.microsoft.com/office/2006/metadata/properties"/>
    <ds:schemaRef ds:uri="http://schemas.microsoft.com/office/infopath/2007/PartnerControls"/>
    <ds:schemaRef ds:uri="ac907f40-6a18-4877-a0a9-95aafcda5187"/>
    <ds:schemaRef ds:uri="87c03cdd-cb60-40ba-8304-69bb9b343a64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40A3CA77-C462-400A-920B-55BC0A8A315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10489F4-7992-4B44-9167-54B06CE019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550</Words>
  <Characters>3138</Characters>
  <Application>Microsoft Office Word</Application>
  <DocSecurity>8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 Statement</vt:lpstr>
    </vt:vector>
  </TitlesOfParts>
  <Company>University of Louisiana at Lafayette</Company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 Statement</dc:title>
  <dc:creator>landrum@ulm.edu</dc:creator>
  <cp:lastModifiedBy>Treina Kimble</cp:lastModifiedBy>
  <cp:revision>3</cp:revision>
  <cp:lastPrinted>2023-01-24T19:14:00Z</cp:lastPrinted>
  <dcterms:created xsi:type="dcterms:W3CDTF">2026-04-20T14:07:00Z</dcterms:created>
  <dcterms:modified xsi:type="dcterms:W3CDTF">2026-04-20T14:08:00Z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0x010100B02BE31A9DB36A468DAD2D7AFA40EF17</vt:lpwstr>
  </property>
  <property fmtid="{D5CDD505-2E9C-101B-9397-08002B2CF9AE}" pid="3" name="MediaServiceImageTags">
    <vt:lpwstr/>
  </property>
  <property fmtid="{D5CDD505-2E9C-101B-9397-08002B2CF9AE}" pid="4" name="Order">
    <vt:r8>5200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data-panorama-remediation-history">
    <vt:lpwstr>[{"pageNumber":0,"geomIndex":86,"lastGeomIndex":105,"textElement":"I.\tPolicy Statement","headingStructure":"h1","identifiers":{"PARAGRAPH_ID":"2"},"issueTypeId":"HeadingStructureNotOneIssue:DOCX","dismiss":false,"pageNumbers":[-1],"coordinatesList":[null]},{"pageNumber":0,"geomIndex":86,"textElement":"I.\tPolicy Statement","lastGeomIndex":104,"listFormat":"upper-roman","identifiers":{"PARAGRAPH_ID":"2"},"issueTypeId":"FormattedListIssue:DOCX","dismiss":false,"pageNumbers":[1],"coordinatesList":[[57.24399948120117,179.0,117.22798538208008,30.890024662017822]]},{"pageNumber":0,"geomIndex":428,"textElement":"II.\tPurpose of Policy","lastGeomIndex":447,"listFormat":"upper-roman","identifiers":{"PARAGRAPH_ID":"5"},"issueTypeId":"FormattedListIssue:DOCX","dismiss":false,"pageNumbers":[1],"coordinatesList":[[54.099998474121094,275.9000244140625,121.77605438232422,7.320000171661377]]},{"pageNumber":0,"geomIndex":1345,"textElement":"III.\tApplicability","lastGeomIndex":1363,"listFormat":"upper-roman","identifiers":{"PARAGRAPH_ID":"9"},"issueTypeId":"FormattedListIssue:DOCX","dismiss":false,"pageNumbers":[1],"coordinatesList":[[54.099998474121094,508.8999938964844,98.01599884033203,7.320000171661377]]},{"pageNumber":0,"geomIndex":1446,"textElement":"IV.\tDefinitions","lastGeomIndex":1460,"listFormat":"upper-roman","identifiers":{"PARAGRAPH_ID":"11"},"issueTypeId":"FormattedListIssue:DOCX","dismiss":false,"pageNumbers":[1],"coordinatesList":[[54.099998474121094,559.2000122070312,90.27600860595703,7.320000171661377]]},{"pageNumber":0,"geomIndex":2276,"textElement":"VI.\tEnforcement","lastGeomIndex":2291,"listFormat":"upper-roman","identifiers":{"PARAGRAPH_ID":"18"},"issueTypeId":"FormattedListIssue:DOCX","dismiss":false,"pageNumbers":[2],"coordinatesList":[[54.099998474121094,119.75,100.18799591064453,7.320000171661377]]},{"pageNumber":0,"geomIndex":2372,"textElement":"VII.\tPolicy Management","lastGeomIndex":2393,"listFormat":"upper-roman","identifiers":{"PARAGRAPH_ID":"20"},"issueTypeId":"FormattedListIssue:DOCX","dismiss":false,"pageNumbers":[2],"coordinatesList":[[54.099998474121094,170.04998779296875,134.90401458740234,7.320000171661377]]},{"pageNumber":0,"geomIndex":2555,"textElement":"VIII.\tExclusions","lastGeomIndex":2571,"listFormat":"upper-roman","identifiers":{"PARAGRAPH_ID":"22"},"issueTypeId":"FormattedListIssue:DOCX","dismiss":false,"pageNumbers":[2],"coordinatesList":[[54.099998474121094,235.0,87.12000274658203,7.320000171661377]]},{"pageNumber":0,"geomIndex":2576,"textElement":"IX.\tEffective Date","lastGeomIndex":2593,"listFormat":"upper-roman","identifiers":{"PARAGRAPH_ID":"24"},"issueTypeId":"FormattedListIssue:DOCX","dismiss":false,"pageNumbers":[2],"coordinatesList":[[54.099998474121094,285.29998779296875,105.18000030517578,7.320000171661377]]},{"pageNumber":0,"geomIndex":2626,"textElement":"X. \tAdoption","lastGeomIndex":2637,"listFormat":"upper-roman","identifiers":{"PARAGRAPH_ID":"26"},"issueTypeId":"FormattedListIssue:DOCX","dismiss":false,"pageNumbers":[2],"coordinatesList":[[54.099998474121094,335.6000061035156,82.4520034790039,7.320000171661377]]},{"pageNumber":0,"geomIndex":2842,"textElement":"XI.\tAppendices, References and Related Materials","lastGeomIndex":2885,"listFormat":"upper-roman","identifiers":{"PARAGRAPH_ID":"32"},"issueTypeId":"FormattedListIssue:DOCX","dismiss":false,"pageNumbers":[2],"coordinatesList":[[54.099998474121094,482.5,267.3360366821289,7.320000171661377]]},{"pageNumber":0,"geomIndex":2889,"textElement":"XII.\tRevision History","lastGeomIndex":2909,"listFormat":"upper-roman","identifiers":{"PARAGRAPH_ID":"34"},"issueTypeId":"FormattedListIssue:DOCX","dismiss":false,"pageNumbers":[2],"coordinatesList":[[54.099998474121094,534.7999877929688,116.47200775146484,7.320000171661377]]}]</vt:lpwstr>
  </property>
</Properties>
</file>