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436D66" w14:textId="77777777" w:rsidR="003151C5" w:rsidRPr="00CD73D2" w:rsidRDefault="003151C5" w:rsidP="00BC6F8F">
      <w:pPr>
        <w:jc w:val="both"/>
      </w:pPr>
    </w:p>
    <w:p w14:paraId="49C125BA" w14:textId="73519DD1" w:rsidR="00675C03" w:rsidRDefault="00675C03" w:rsidP="00675C03">
      <w:pPr>
        <w:pStyle w:val="Caption"/>
        <w:keepNext/>
      </w:pPr>
      <w:r>
        <w:t xml:space="preserve">Table </w:t>
      </w:r>
      <w:r w:rsidR="00051984">
        <w:fldChar w:fldCharType="begin"/>
      </w:r>
      <w:r w:rsidR="00051984">
        <w:instrText xml:space="preserve"> SEQ Table \* ARABIC </w:instrText>
      </w:r>
      <w:r w:rsidR="00051984">
        <w:fldChar w:fldCharType="separate"/>
      </w:r>
      <w:r>
        <w:rPr>
          <w:noProof/>
        </w:rPr>
        <w:t>1</w:t>
      </w:r>
      <w:r w:rsidR="00051984">
        <w:rPr>
          <w:noProof/>
        </w:rPr>
        <w:fldChar w:fldCharType="end"/>
      </w:r>
      <w:r>
        <w:t>Policy Name and Information</w:t>
      </w:r>
    </w:p>
    <w:tbl>
      <w:tblPr>
        <w:tblpPr w:leftFromText="180" w:rightFromText="180" w:vertAnchor="page" w:horzAnchor="margin" w:tblpXSpec="center" w:tblpY="312"/>
        <w:tblW w:w="11448" w:type="dxa"/>
        <w:tblBorders>
          <w:top w:val="threeDEngrave" w:sz="24" w:space="0" w:color="auto"/>
          <w:bottom w:val="threeDEmboss" w:sz="24" w:space="0" w:color="auto"/>
        </w:tblBorders>
        <w:tblLook w:val="04A0" w:firstRow="1" w:lastRow="0" w:firstColumn="1" w:lastColumn="0" w:noHBand="0" w:noVBand="1"/>
      </w:tblPr>
      <w:tblGrid>
        <w:gridCol w:w="2406"/>
        <w:gridCol w:w="4531"/>
        <w:gridCol w:w="4511"/>
      </w:tblGrid>
      <w:tr w:rsidR="00EB28CB" w:rsidRPr="00065E93" w14:paraId="30D14D75" w14:textId="77777777" w:rsidTr="00675C03">
        <w:trPr>
          <w:trHeight w:val="1953"/>
        </w:trPr>
        <w:tc>
          <w:tcPr>
            <w:tcW w:w="2406" w:type="dxa"/>
            <w:shd w:val="clear" w:color="auto" w:fill="auto"/>
          </w:tcPr>
          <w:p w14:paraId="3DC89D53" w14:textId="77777777" w:rsidR="003151C5" w:rsidRPr="003151C5" w:rsidRDefault="00EB28CB" w:rsidP="003151C5">
            <w:pPr>
              <w:ind w:right="-112"/>
              <w:jc w:val="center"/>
            </w:pPr>
            <w:r>
              <w:rPr>
                <w:noProof/>
              </w:rPr>
              <w:drawing>
                <wp:inline distT="0" distB="0" distL="0" distR="0" wp14:anchorId="0EA4D2B3" wp14:editId="3DAA9D0B">
                  <wp:extent cx="1060704" cy="1060704"/>
                  <wp:effectExtent l="0" t="0" r="6350" b="6350"/>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60704" cy="1060704"/>
                          </a:xfrm>
                          <a:prstGeom prst="rect">
                            <a:avLst/>
                          </a:prstGeom>
                        </pic:spPr>
                      </pic:pic>
                    </a:graphicData>
                  </a:graphic>
                </wp:inline>
              </w:drawing>
            </w:r>
          </w:p>
        </w:tc>
        <w:tc>
          <w:tcPr>
            <w:tcW w:w="4531" w:type="dxa"/>
            <w:shd w:val="clear" w:color="auto" w:fill="auto"/>
            <w:vAlign w:val="center"/>
          </w:tcPr>
          <w:p w14:paraId="544846A1" w14:textId="77777777" w:rsidR="003151C5" w:rsidRPr="00CF10A2" w:rsidRDefault="00CF10A2" w:rsidP="00CF10A2">
            <w:pPr>
              <w:jc w:val="center"/>
              <w:rPr>
                <w:rFonts w:asciiTheme="minorHAnsi" w:hAnsiTheme="minorHAnsi"/>
                <w:b/>
                <w:sz w:val="28"/>
                <w:szCs w:val="28"/>
              </w:rPr>
            </w:pPr>
            <w:r w:rsidRPr="00CF10A2">
              <w:rPr>
                <w:rFonts w:asciiTheme="minorHAnsi" w:hAnsiTheme="minorHAnsi"/>
                <w:b/>
                <w:sz w:val="28"/>
                <w:szCs w:val="28"/>
              </w:rPr>
              <w:t>Centralized Cash Management Policy</w:t>
            </w:r>
          </w:p>
          <w:p w14:paraId="73CA6148" w14:textId="77777777" w:rsidR="003151C5" w:rsidRPr="006F6044" w:rsidRDefault="003151C5" w:rsidP="003151C5">
            <w:pPr>
              <w:jc w:val="center"/>
              <w:rPr>
                <w:rFonts w:asciiTheme="minorHAnsi" w:hAnsiTheme="minorHAnsi"/>
                <w:i/>
              </w:rPr>
            </w:pPr>
          </w:p>
        </w:tc>
        <w:tc>
          <w:tcPr>
            <w:tcW w:w="4511" w:type="dxa"/>
            <w:shd w:val="clear" w:color="auto" w:fill="auto"/>
            <w:vAlign w:val="center"/>
          </w:tcPr>
          <w:tbl>
            <w:tblPr>
              <w:tblpPr w:leftFromText="187" w:rightFromText="187" w:vertAnchor="text" w:horzAnchor="page" w:tblpX="635" w:tblpY="-1741"/>
              <w:tblOverlap w:val="never"/>
              <w:tblW w:w="428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242"/>
              <w:gridCol w:w="2043"/>
            </w:tblGrid>
            <w:tr w:rsidR="000D5D19" w:rsidRPr="00517994" w14:paraId="71D9722E" w14:textId="77777777" w:rsidTr="00CF10A2">
              <w:trPr>
                <w:trHeight w:val="271"/>
              </w:trPr>
              <w:tc>
                <w:tcPr>
                  <w:tcW w:w="2242" w:type="dxa"/>
                  <w:shd w:val="clear" w:color="auto" w:fill="auto"/>
                  <w:tcMar>
                    <w:left w:w="86" w:type="dxa"/>
                    <w:right w:w="29" w:type="dxa"/>
                  </w:tcMar>
                  <w:vAlign w:val="bottom"/>
                </w:tcPr>
                <w:p w14:paraId="3602FC58" w14:textId="77777777" w:rsidR="000D5D19" w:rsidRPr="00517994" w:rsidRDefault="000D5D19" w:rsidP="00E36117">
                  <w:pPr>
                    <w:rPr>
                      <w:rFonts w:asciiTheme="minorHAnsi" w:hAnsiTheme="minorHAnsi"/>
                      <w:bCs/>
                      <w:sz w:val="20"/>
                      <w:szCs w:val="20"/>
                    </w:rPr>
                  </w:pPr>
                  <w:r w:rsidRPr="00517994">
                    <w:rPr>
                      <w:rFonts w:asciiTheme="minorHAnsi" w:hAnsiTheme="minorHAnsi"/>
                      <w:b/>
                      <w:bCs/>
                      <w:sz w:val="20"/>
                      <w:szCs w:val="20"/>
                    </w:rPr>
                    <w:t>Policy #</w:t>
                  </w:r>
                  <w:r>
                    <w:rPr>
                      <w:rFonts w:asciiTheme="minorHAnsi" w:hAnsiTheme="minorHAnsi"/>
                      <w:b/>
                      <w:bCs/>
                      <w:sz w:val="20"/>
                      <w:szCs w:val="20"/>
                    </w:rPr>
                    <w:t>:</w:t>
                  </w:r>
                </w:p>
              </w:tc>
              <w:tc>
                <w:tcPr>
                  <w:tcW w:w="2043" w:type="dxa"/>
                  <w:shd w:val="clear" w:color="auto" w:fill="auto"/>
                  <w:vAlign w:val="bottom"/>
                </w:tcPr>
                <w:p w14:paraId="2B97991B" w14:textId="77777777" w:rsidR="000D5D19" w:rsidRPr="00944A44" w:rsidRDefault="00AA5572" w:rsidP="00E36117">
                  <w:pPr>
                    <w:rPr>
                      <w:rFonts w:asciiTheme="minorHAnsi" w:hAnsiTheme="minorHAnsi"/>
                      <w:bCs/>
                      <w:sz w:val="20"/>
                      <w:szCs w:val="20"/>
                    </w:rPr>
                  </w:pPr>
                  <w:r w:rsidRPr="00944A44">
                    <w:rPr>
                      <w:rFonts w:asciiTheme="minorHAnsi" w:hAnsiTheme="minorHAnsi"/>
                      <w:bCs/>
                      <w:sz w:val="20"/>
                      <w:szCs w:val="20"/>
                    </w:rPr>
                    <w:t>CO003</w:t>
                  </w:r>
                  <w:r w:rsidR="00CF10A2" w:rsidRPr="00944A44">
                    <w:rPr>
                      <w:rFonts w:asciiTheme="minorHAnsi" w:hAnsiTheme="minorHAnsi"/>
                      <w:bCs/>
                      <w:sz w:val="20"/>
                      <w:szCs w:val="20"/>
                    </w:rPr>
                    <w:t>.1</w:t>
                  </w:r>
                </w:p>
              </w:tc>
            </w:tr>
            <w:tr w:rsidR="000D5D19" w:rsidRPr="00517994" w14:paraId="6163C9CC" w14:textId="77777777" w:rsidTr="00CF10A2">
              <w:trPr>
                <w:trHeight w:val="251"/>
              </w:trPr>
              <w:tc>
                <w:tcPr>
                  <w:tcW w:w="2242" w:type="dxa"/>
                  <w:shd w:val="clear" w:color="auto" w:fill="auto"/>
                  <w:tcMar>
                    <w:left w:w="86" w:type="dxa"/>
                    <w:right w:w="29" w:type="dxa"/>
                  </w:tcMar>
                  <w:vAlign w:val="bottom"/>
                </w:tcPr>
                <w:p w14:paraId="3DFE3297" w14:textId="77777777" w:rsidR="000D5D19" w:rsidRPr="00517994" w:rsidRDefault="000D5D19" w:rsidP="00E36117">
                  <w:pPr>
                    <w:rPr>
                      <w:rFonts w:asciiTheme="minorHAnsi" w:hAnsiTheme="minorHAnsi"/>
                      <w:bCs/>
                      <w:sz w:val="20"/>
                      <w:szCs w:val="20"/>
                    </w:rPr>
                  </w:pPr>
                  <w:r w:rsidRPr="00517994">
                    <w:rPr>
                      <w:rFonts w:asciiTheme="minorHAnsi" w:hAnsiTheme="minorHAnsi"/>
                      <w:b/>
                      <w:bCs/>
                      <w:sz w:val="20"/>
                      <w:szCs w:val="20"/>
                    </w:rPr>
                    <w:t>Policy Type:</w:t>
                  </w:r>
                </w:p>
              </w:tc>
              <w:tc>
                <w:tcPr>
                  <w:tcW w:w="2043" w:type="dxa"/>
                  <w:shd w:val="clear" w:color="auto" w:fill="auto"/>
                  <w:vAlign w:val="bottom"/>
                </w:tcPr>
                <w:p w14:paraId="5BE7A9A3" w14:textId="77777777" w:rsidR="000D5D19" w:rsidRPr="00944A44" w:rsidRDefault="00CF10A2" w:rsidP="00E36117">
                  <w:pPr>
                    <w:rPr>
                      <w:rFonts w:asciiTheme="minorHAnsi" w:hAnsiTheme="minorHAnsi"/>
                      <w:bCs/>
                      <w:sz w:val="20"/>
                      <w:szCs w:val="20"/>
                    </w:rPr>
                  </w:pPr>
                  <w:r w:rsidRPr="00944A44">
                    <w:rPr>
                      <w:rFonts w:asciiTheme="minorHAnsi" w:hAnsiTheme="minorHAnsi"/>
                      <w:bCs/>
                      <w:sz w:val="20"/>
                      <w:szCs w:val="20"/>
                    </w:rPr>
                    <w:t>University</w:t>
                  </w:r>
                </w:p>
              </w:tc>
            </w:tr>
            <w:tr w:rsidR="000D5D19" w:rsidRPr="00517994" w14:paraId="306CE860" w14:textId="77777777" w:rsidTr="00CF10A2">
              <w:trPr>
                <w:trHeight w:val="240"/>
              </w:trPr>
              <w:tc>
                <w:tcPr>
                  <w:tcW w:w="2242" w:type="dxa"/>
                  <w:tcBorders>
                    <w:top w:val="nil"/>
                    <w:bottom w:val="nil"/>
                  </w:tcBorders>
                  <w:shd w:val="clear" w:color="auto" w:fill="auto"/>
                  <w:tcMar>
                    <w:left w:w="86" w:type="dxa"/>
                    <w:right w:w="29" w:type="dxa"/>
                  </w:tcMar>
                </w:tcPr>
                <w:p w14:paraId="4C41936A" w14:textId="77777777" w:rsidR="000D5D19" w:rsidRPr="00517994" w:rsidRDefault="000D5D19" w:rsidP="00E36117">
                  <w:pPr>
                    <w:widowControl w:val="0"/>
                    <w:rPr>
                      <w:rFonts w:asciiTheme="minorHAnsi" w:hAnsiTheme="minorHAnsi"/>
                      <w:bCs/>
                      <w:sz w:val="20"/>
                      <w:szCs w:val="20"/>
                    </w:rPr>
                  </w:pPr>
                  <w:r w:rsidRPr="00517994">
                    <w:rPr>
                      <w:rFonts w:asciiTheme="minorHAnsi" w:hAnsiTheme="minorHAnsi"/>
                      <w:b/>
                      <w:bCs/>
                      <w:sz w:val="20"/>
                      <w:szCs w:val="20"/>
                    </w:rPr>
                    <w:t xml:space="preserve">Responsible Executive:  </w:t>
                  </w:r>
                </w:p>
              </w:tc>
              <w:tc>
                <w:tcPr>
                  <w:tcW w:w="2043" w:type="dxa"/>
                  <w:tcBorders>
                    <w:top w:val="nil"/>
                    <w:bottom w:val="nil"/>
                  </w:tcBorders>
                  <w:shd w:val="clear" w:color="auto" w:fill="auto"/>
                </w:tcPr>
                <w:p w14:paraId="0AC13076" w14:textId="77777777" w:rsidR="000D5D19" w:rsidRPr="00944A44" w:rsidRDefault="00CF10A2" w:rsidP="00E36117">
                  <w:pPr>
                    <w:widowControl w:val="0"/>
                    <w:rPr>
                      <w:rFonts w:asciiTheme="minorHAnsi" w:hAnsiTheme="minorHAnsi"/>
                      <w:bCs/>
                      <w:sz w:val="20"/>
                      <w:szCs w:val="20"/>
                    </w:rPr>
                  </w:pPr>
                  <w:r w:rsidRPr="00944A44">
                    <w:rPr>
                      <w:rFonts w:asciiTheme="minorHAnsi" w:hAnsiTheme="minorHAnsi"/>
                      <w:bCs/>
                      <w:sz w:val="20"/>
                      <w:szCs w:val="20"/>
                    </w:rPr>
                    <w:t>VP for Business Affairs</w:t>
                  </w:r>
                </w:p>
              </w:tc>
            </w:tr>
            <w:tr w:rsidR="000D5D19" w:rsidRPr="00517994" w14:paraId="14CE32EF" w14:textId="77777777" w:rsidTr="00CF10A2">
              <w:trPr>
                <w:trHeight w:val="271"/>
              </w:trPr>
              <w:tc>
                <w:tcPr>
                  <w:tcW w:w="2242" w:type="dxa"/>
                  <w:tcBorders>
                    <w:top w:val="nil"/>
                    <w:bottom w:val="nil"/>
                  </w:tcBorders>
                  <w:shd w:val="clear" w:color="auto" w:fill="auto"/>
                  <w:tcMar>
                    <w:left w:w="86" w:type="dxa"/>
                    <w:right w:w="29" w:type="dxa"/>
                  </w:tcMar>
                  <w:vAlign w:val="bottom"/>
                </w:tcPr>
                <w:p w14:paraId="5D1B659E" w14:textId="77777777" w:rsidR="000D5D19" w:rsidRPr="00517994" w:rsidRDefault="000D5D19" w:rsidP="00E36117">
                  <w:pPr>
                    <w:rPr>
                      <w:rFonts w:asciiTheme="minorHAnsi" w:hAnsiTheme="minorHAnsi"/>
                      <w:bCs/>
                      <w:sz w:val="20"/>
                      <w:szCs w:val="20"/>
                    </w:rPr>
                  </w:pPr>
                  <w:r w:rsidRPr="00517994">
                    <w:rPr>
                      <w:rFonts w:asciiTheme="minorHAnsi" w:hAnsiTheme="minorHAnsi"/>
                      <w:b/>
                      <w:bCs/>
                      <w:sz w:val="20"/>
                      <w:szCs w:val="20"/>
                    </w:rPr>
                    <w:t xml:space="preserve">Responsible Office:  </w:t>
                  </w:r>
                  <w:r w:rsidRPr="00517994">
                    <w:rPr>
                      <w:rFonts w:asciiTheme="minorHAnsi" w:hAnsiTheme="minorHAnsi"/>
                      <w:bCs/>
                      <w:sz w:val="20"/>
                      <w:szCs w:val="20"/>
                    </w:rPr>
                    <w:t xml:space="preserve">   </w:t>
                  </w:r>
                </w:p>
              </w:tc>
              <w:tc>
                <w:tcPr>
                  <w:tcW w:w="2043" w:type="dxa"/>
                  <w:tcBorders>
                    <w:top w:val="nil"/>
                    <w:bottom w:val="nil"/>
                  </w:tcBorders>
                  <w:shd w:val="clear" w:color="auto" w:fill="auto"/>
                  <w:vAlign w:val="bottom"/>
                </w:tcPr>
                <w:p w14:paraId="7F1647D2" w14:textId="77777777" w:rsidR="000D5D19" w:rsidRPr="00944A44" w:rsidRDefault="00CF10A2" w:rsidP="00E36117">
                  <w:pPr>
                    <w:rPr>
                      <w:rFonts w:asciiTheme="minorHAnsi" w:hAnsiTheme="minorHAnsi"/>
                      <w:bCs/>
                      <w:sz w:val="20"/>
                      <w:szCs w:val="20"/>
                    </w:rPr>
                  </w:pPr>
                  <w:r w:rsidRPr="00944A44">
                    <w:rPr>
                      <w:rFonts w:asciiTheme="minorHAnsi" w:hAnsiTheme="minorHAnsi"/>
                      <w:bCs/>
                      <w:sz w:val="20"/>
                      <w:szCs w:val="20"/>
                    </w:rPr>
                    <w:t>Controller’s Office</w:t>
                  </w:r>
                </w:p>
              </w:tc>
            </w:tr>
            <w:tr w:rsidR="000D5D19" w:rsidRPr="00517994" w14:paraId="6F749407" w14:textId="77777777" w:rsidTr="00CF10A2">
              <w:trPr>
                <w:trHeight w:val="271"/>
              </w:trPr>
              <w:tc>
                <w:tcPr>
                  <w:tcW w:w="2242" w:type="dxa"/>
                  <w:tcBorders>
                    <w:top w:val="nil"/>
                  </w:tcBorders>
                  <w:shd w:val="clear" w:color="auto" w:fill="auto"/>
                  <w:tcMar>
                    <w:left w:w="86" w:type="dxa"/>
                    <w:right w:w="29" w:type="dxa"/>
                  </w:tcMar>
                  <w:vAlign w:val="bottom"/>
                </w:tcPr>
                <w:p w14:paraId="4584C72D" w14:textId="77777777" w:rsidR="000D5D19" w:rsidRPr="00517994" w:rsidRDefault="000D5D19" w:rsidP="00E36117">
                  <w:pPr>
                    <w:rPr>
                      <w:rFonts w:asciiTheme="minorHAnsi" w:hAnsiTheme="minorHAnsi"/>
                      <w:b/>
                      <w:bCs/>
                      <w:sz w:val="20"/>
                      <w:szCs w:val="20"/>
                    </w:rPr>
                  </w:pPr>
                  <w:r w:rsidRPr="00517994">
                    <w:rPr>
                      <w:rFonts w:asciiTheme="minorHAnsi" w:hAnsiTheme="minorHAnsi"/>
                      <w:b/>
                      <w:bCs/>
                      <w:sz w:val="20"/>
                      <w:szCs w:val="20"/>
                    </w:rPr>
                    <w:t>Originally Issued:</w:t>
                  </w:r>
                </w:p>
              </w:tc>
              <w:tc>
                <w:tcPr>
                  <w:tcW w:w="2043" w:type="dxa"/>
                  <w:tcBorders>
                    <w:top w:val="nil"/>
                  </w:tcBorders>
                  <w:shd w:val="clear" w:color="auto" w:fill="auto"/>
                  <w:vAlign w:val="bottom"/>
                </w:tcPr>
                <w:p w14:paraId="11D9E6B6" w14:textId="77777777" w:rsidR="000D5D19" w:rsidRPr="00944A44" w:rsidRDefault="00A30752" w:rsidP="00E36117">
                  <w:pPr>
                    <w:rPr>
                      <w:rFonts w:asciiTheme="minorHAnsi" w:hAnsiTheme="minorHAnsi"/>
                      <w:bCs/>
                      <w:sz w:val="20"/>
                      <w:szCs w:val="20"/>
                    </w:rPr>
                  </w:pPr>
                  <w:r w:rsidRPr="00944A44">
                    <w:rPr>
                      <w:rFonts w:asciiTheme="minorHAnsi" w:hAnsiTheme="minorHAnsi"/>
                      <w:bCs/>
                      <w:sz w:val="20"/>
                      <w:szCs w:val="20"/>
                    </w:rPr>
                    <w:t>May 23, 2018</w:t>
                  </w:r>
                </w:p>
              </w:tc>
            </w:tr>
            <w:tr w:rsidR="000D5D19" w:rsidRPr="00517994" w14:paraId="1326A33B" w14:textId="77777777" w:rsidTr="00CF10A2">
              <w:trPr>
                <w:trHeight w:val="271"/>
              </w:trPr>
              <w:tc>
                <w:tcPr>
                  <w:tcW w:w="2242" w:type="dxa"/>
                  <w:shd w:val="clear" w:color="auto" w:fill="auto"/>
                  <w:tcMar>
                    <w:left w:w="86" w:type="dxa"/>
                    <w:right w:w="29" w:type="dxa"/>
                  </w:tcMar>
                  <w:vAlign w:val="bottom"/>
                </w:tcPr>
                <w:p w14:paraId="665FCE6C" w14:textId="77777777" w:rsidR="000D5D19" w:rsidRPr="00517994" w:rsidRDefault="000D5D19" w:rsidP="00E36117">
                  <w:pPr>
                    <w:tabs>
                      <w:tab w:val="left" w:pos="1867"/>
                    </w:tabs>
                    <w:ind w:right="-853"/>
                    <w:rPr>
                      <w:rFonts w:asciiTheme="minorHAnsi" w:hAnsiTheme="minorHAnsi"/>
                      <w:bCs/>
                      <w:sz w:val="20"/>
                      <w:szCs w:val="20"/>
                    </w:rPr>
                  </w:pPr>
                  <w:r w:rsidRPr="00517994">
                    <w:rPr>
                      <w:rFonts w:asciiTheme="minorHAnsi" w:hAnsiTheme="minorHAnsi"/>
                      <w:b/>
                      <w:bCs/>
                      <w:sz w:val="20"/>
                      <w:szCs w:val="20"/>
                    </w:rPr>
                    <w:t>Latest Revision:</w:t>
                  </w:r>
                </w:p>
              </w:tc>
              <w:tc>
                <w:tcPr>
                  <w:tcW w:w="2043" w:type="dxa"/>
                  <w:shd w:val="clear" w:color="auto" w:fill="auto"/>
                  <w:vAlign w:val="bottom"/>
                </w:tcPr>
                <w:p w14:paraId="047EE512" w14:textId="77777777" w:rsidR="000D5D19" w:rsidRPr="00944A44" w:rsidRDefault="00FE50FB" w:rsidP="00E36117">
                  <w:pPr>
                    <w:tabs>
                      <w:tab w:val="left" w:pos="1867"/>
                    </w:tabs>
                    <w:ind w:right="-853"/>
                    <w:rPr>
                      <w:rFonts w:asciiTheme="minorHAnsi" w:hAnsiTheme="minorHAnsi"/>
                      <w:bCs/>
                      <w:sz w:val="20"/>
                      <w:szCs w:val="20"/>
                    </w:rPr>
                  </w:pPr>
                  <w:r>
                    <w:rPr>
                      <w:rFonts w:asciiTheme="minorHAnsi" w:hAnsiTheme="minorHAnsi"/>
                      <w:bCs/>
                      <w:sz w:val="20"/>
                      <w:szCs w:val="20"/>
                    </w:rPr>
                    <w:t>April 24</w:t>
                  </w:r>
                  <w:r w:rsidR="00CF10A2" w:rsidRPr="00944A44">
                    <w:rPr>
                      <w:rFonts w:asciiTheme="minorHAnsi" w:hAnsiTheme="minorHAnsi"/>
                      <w:bCs/>
                      <w:sz w:val="20"/>
                      <w:szCs w:val="20"/>
                    </w:rPr>
                    <w:t>, 2020</w:t>
                  </w:r>
                </w:p>
              </w:tc>
            </w:tr>
            <w:tr w:rsidR="000D5D19" w:rsidRPr="00517994" w14:paraId="1DCC5FBB" w14:textId="77777777" w:rsidTr="00CF10A2">
              <w:trPr>
                <w:trHeight w:val="271"/>
              </w:trPr>
              <w:tc>
                <w:tcPr>
                  <w:tcW w:w="2242" w:type="dxa"/>
                  <w:shd w:val="clear" w:color="auto" w:fill="auto"/>
                  <w:tcMar>
                    <w:left w:w="86" w:type="dxa"/>
                    <w:right w:w="29" w:type="dxa"/>
                  </w:tcMar>
                  <w:vAlign w:val="bottom"/>
                </w:tcPr>
                <w:p w14:paraId="4C50D10B" w14:textId="77777777" w:rsidR="000D5D19" w:rsidRPr="00517994" w:rsidRDefault="000D5D19" w:rsidP="00E36117">
                  <w:pPr>
                    <w:tabs>
                      <w:tab w:val="left" w:pos="1867"/>
                    </w:tabs>
                    <w:ind w:right="-853"/>
                    <w:rPr>
                      <w:rFonts w:asciiTheme="minorHAnsi" w:hAnsiTheme="minorHAnsi"/>
                      <w:b/>
                      <w:bCs/>
                      <w:sz w:val="20"/>
                      <w:szCs w:val="20"/>
                    </w:rPr>
                  </w:pPr>
                  <w:r w:rsidRPr="00517994">
                    <w:rPr>
                      <w:rFonts w:asciiTheme="minorHAnsi" w:hAnsiTheme="minorHAnsi"/>
                      <w:b/>
                      <w:bCs/>
                      <w:sz w:val="20"/>
                      <w:szCs w:val="20"/>
                    </w:rPr>
                    <w:t>Effective Date:</w:t>
                  </w:r>
                </w:p>
              </w:tc>
              <w:tc>
                <w:tcPr>
                  <w:tcW w:w="2043" w:type="dxa"/>
                  <w:shd w:val="clear" w:color="auto" w:fill="auto"/>
                  <w:vAlign w:val="bottom"/>
                </w:tcPr>
                <w:p w14:paraId="53707F31" w14:textId="77777777" w:rsidR="000D5D19" w:rsidRPr="00944A44" w:rsidRDefault="00FE50FB" w:rsidP="00E36117">
                  <w:pPr>
                    <w:tabs>
                      <w:tab w:val="left" w:pos="1867"/>
                    </w:tabs>
                    <w:ind w:right="-853"/>
                    <w:rPr>
                      <w:rFonts w:asciiTheme="minorHAnsi" w:hAnsiTheme="minorHAnsi"/>
                      <w:bCs/>
                      <w:sz w:val="20"/>
                      <w:szCs w:val="20"/>
                    </w:rPr>
                  </w:pPr>
                  <w:r>
                    <w:rPr>
                      <w:rFonts w:asciiTheme="minorHAnsi" w:hAnsiTheme="minorHAnsi"/>
                      <w:bCs/>
                      <w:sz w:val="20"/>
                      <w:szCs w:val="20"/>
                    </w:rPr>
                    <w:t>July 16</w:t>
                  </w:r>
                  <w:r w:rsidR="00944A44">
                    <w:rPr>
                      <w:rFonts w:asciiTheme="minorHAnsi" w:hAnsiTheme="minorHAnsi"/>
                      <w:bCs/>
                      <w:sz w:val="20"/>
                      <w:szCs w:val="20"/>
                    </w:rPr>
                    <w:t>, 2020</w:t>
                  </w:r>
                </w:p>
              </w:tc>
            </w:tr>
          </w:tbl>
          <w:p w14:paraId="4481561C" w14:textId="77777777" w:rsidR="003151C5" w:rsidRPr="006F6044" w:rsidRDefault="003151C5" w:rsidP="003151C5">
            <w:pPr>
              <w:rPr>
                <w:rFonts w:asciiTheme="minorHAnsi" w:hAnsiTheme="minorHAnsi"/>
                <w:b/>
                <w:sz w:val="20"/>
              </w:rPr>
            </w:pPr>
          </w:p>
        </w:tc>
      </w:tr>
    </w:tbl>
    <w:p w14:paraId="689560CF" w14:textId="77777777" w:rsidR="001518A1" w:rsidRPr="00D70333" w:rsidRDefault="001518A1" w:rsidP="00DB4992">
      <w:pPr>
        <w:pStyle w:val="Heading1"/>
        <w:numPr>
          <w:ilvl w:val="0"/>
          <w:numId w:val="34"/>
        </w:numPr>
        <w:pBdr>
          <w:top w:val="single" w:sz="4" w:space="1" w:color="C00000"/>
          <w:left w:val="single" w:sz="4" w:space="4" w:color="C00000"/>
          <w:bottom w:val="single" w:sz="4" w:space="1" w:color="C00000"/>
          <w:right w:val="single" w:sz="4" w:space="4" w:color="C00000"/>
        </w:pBdr>
        <w:shd w:val="clear" w:color="auto" w:fill="740027"/>
        <w:tabs>
          <w:tab w:val="left" w:pos="720"/>
          <w:tab w:val="left" w:pos="1440"/>
          <w:tab w:val="left" w:pos="2160"/>
          <w:tab w:val="center" w:pos="5040"/>
        </w:tabs>
        <w:rPr>
          <w:rFonts w:asciiTheme="minorHAnsi" w:hAnsiTheme="minorHAnsi"/>
          <w:color w:val="FFFFFF" w:themeColor="background1"/>
          <w:u w:val="single"/>
        </w:rPr>
      </w:pPr>
      <w:bookmarkStart w:id="0" w:name="_I._Policy_Statement"/>
      <w:bookmarkEnd w:id="0"/>
      <w:r w:rsidRPr="006F6044">
        <w:rPr>
          <w:rFonts w:asciiTheme="minorHAnsi" w:hAnsiTheme="minorHAnsi"/>
        </w:rPr>
        <w:tab/>
        <w:t>Policy Statement</w:t>
      </w:r>
      <w:r w:rsidR="00892246">
        <w:rPr>
          <w:rFonts w:asciiTheme="minorHAnsi" w:hAnsiTheme="minorHAnsi"/>
        </w:rPr>
        <w:tab/>
      </w:r>
    </w:p>
    <w:p w14:paraId="45AFE733" w14:textId="77777777" w:rsidR="00723046" w:rsidRPr="00723046" w:rsidRDefault="00723046" w:rsidP="00723046">
      <w:pPr>
        <w:spacing w:before="160" w:after="240"/>
        <w:rPr>
          <w:rFonts w:asciiTheme="minorHAnsi" w:hAnsiTheme="minorHAnsi"/>
        </w:rPr>
      </w:pPr>
      <w:r w:rsidRPr="00723046">
        <w:rPr>
          <w:rFonts w:asciiTheme="minorHAnsi" w:hAnsiTheme="minorHAnsi"/>
        </w:rPr>
        <w:t xml:space="preserve">The University </w:t>
      </w:r>
      <w:r w:rsidR="0005569E">
        <w:rPr>
          <w:rFonts w:asciiTheme="minorHAnsi" w:hAnsiTheme="minorHAnsi"/>
        </w:rPr>
        <w:t xml:space="preserve">of </w:t>
      </w:r>
      <w:r w:rsidRPr="00723046">
        <w:rPr>
          <w:rFonts w:asciiTheme="minorHAnsi" w:hAnsiTheme="minorHAnsi"/>
        </w:rPr>
        <w:t>Louisiana Monroe (ULM) conducts investment activities under the authority provided from R.S. 49:327.  This statute provides institutions of higher education the legal authority to promulgate and implement standards and policies relative to cash management and investment activities.  Under provisions granted by that legal authority, the University wishes to define its cash management and investment policies, as well as confer upon the Vice President for Business Affairs the power and responsibility for administering and interpreting this policy.  The VP for Business Affairs may designate one or more staff members to directly coordinate the day-to-day investment and cash management activities.  Said person shall report to the VP for Business Affairs.  All policies and procedures for centralized cash management and investment activities are reviewed periodically and updated.</w:t>
      </w:r>
    </w:p>
    <w:p w14:paraId="08456EFD" w14:textId="77777777" w:rsidR="007D240C" w:rsidRPr="006F6044" w:rsidRDefault="007D240C" w:rsidP="00DB4992">
      <w:pPr>
        <w:pStyle w:val="Heading3"/>
        <w:numPr>
          <w:ilvl w:val="0"/>
          <w:numId w:val="35"/>
        </w:numPr>
        <w:pBdr>
          <w:top w:val="single" w:sz="4" w:space="1" w:color="C00000"/>
          <w:left w:val="single" w:sz="4" w:space="4" w:color="C00000"/>
          <w:bottom w:val="single" w:sz="4" w:space="1" w:color="C00000"/>
          <w:right w:val="single" w:sz="4" w:space="4" w:color="C00000"/>
        </w:pBdr>
        <w:shd w:val="clear" w:color="auto" w:fill="740027"/>
        <w:rPr>
          <w:rFonts w:asciiTheme="minorHAnsi" w:hAnsiTheme="minorHAnsi"/>
        </w:rPr>
      </w:pPr>
      <w:bookmarkStart w:id="1" w:name="_II._Purpose_of"/>
      <w:bookmarkEnd w:id="1"/>
      <w:r w:rsidRPr="006F6044">
        <w:rPr>
          <w:rFonts w:asciiTheme="minorHAnsi" w:hAnsiTheme="minorHAnsi"/>
        </w:rPr>
        <w:tab/>
        <w:t>Purpose of Policy</w:t>
      </w:r>
    </w:p>
    <w:p w14:paraId="6ABFA31E" w14:textId="77777777" w:rsidR="00723046" w:rsidRPr="006640AA" w:rsidRDefault="00723046" w:rsidP="00723046">
      <w:pPr>
        <w:spacing w:before="160" w:after="240"/>
        <w:rPr>
          <w:rFonts w:asciiTheme="minorHAnsi" w:hAnsiTheme="minorHAnsi"/>
        </w:rPr>
      </w:pPr>
      <w:r w:rsidRPr="006640AA">
        <w:rPr>
          <w:rFonts w:asciiTheme="minorHAnsi" w:hAnsiTheme="minorHAnsi"/>
        </w:rPr>
        <w:t xml:space="preserve">ULM has developed a centralized cash management system to meet the objectives below.  This policy serves to provide detailed information and procedures to follow in order to meet these objectives: </w:t>
      </w:r>
    </w:p>
    <w:p w14:paraId="54E1B37A" w14:textId="77777777" w:rsidR="00723046" w:rsidRPr="006640AA" w:rsidRDefault="00723046" w:rsidP="00723046">
      <w:pPr>
        <w:numPr>
          <w:ilvl w:val="0"/>
          <w:numId w:val="36"/>
        </w:numPr>
        <w:spacing w:before="160" w:after="240"/>
        <w:rPr>
          <w:rFonts w:asciiTheme="minorHAnsi" w:hAnsiTheme="minorHAnsi"/>
        </w:rPr>
      </w:pPr>
      <w:r w:rsidRPr="006640AA">
        <w:rPr>
          <w:rFonts w:asciiTheme="minorHAnsi" w:hAnsiTheme="minorHAnsi"/>
        </w:rPr>
        <w:t>Provide funds as needed for operations of the University</w:t>
      </w:r>
    </w:p>
    <w:p w14:paraId="71AF39A4" w14:textId="77777777" w:rsidR="00723046" w:rsidRPr="006640AA" w:rsidRDefault="00723046" w:rsidP="00723046">
      <w:pPr>
        <w:numPr>
          <w:ilvl w:val="0"/>
          <w:numId w:val="36"/>
        </w:numPr>
        <w:spacing w:before="160" w:after="240"/>
        <w:rPr>
          <w:rFonts w:asciiTheme="minorHAnsi" w:hAnsiTheme="minorHAnsi"/>
        </w:rPr>
      </w:pPr>
      <w:r w:rsidRPr="006640AA">
        <w:rPr>
          <w:rFonts w:asciiTheme="minorHAnsi" w:hAnsiTheme="minorHAnsi"/>
        </w:rPr>
        <w:t>Generate maximum investment income with complete safety of equipment</w:t>
      </w:r>
    </w:p>
    <w:p w14:paraId="6A433F1D" w14:textId="77777777" w:rsidR="00723046" w:rsidRPr="006640AA" w:rsidRDefault="00723046" w:rsidP="00723046">
      <w:pPr>
        <w:numPr>
          <w:ilvl w:val="0"/>
          <w:numId w:val="36"/>
        </w:numPr>
        <w:spacing w:before="160" w:after="240"/>
        <w:rPr>
          <w:rFonts w:asciiTheme="minorHAnsi" w:hAnsiTheme="minorHAnsi"/>
        </w:rPr>
      </w:pPr>
      <w:r w:rsidRPr="006640AA">
        <w:rPr>
          <w:rFonts w:asciiTheme="minorHAnsi" w:hAnsiTheme="minorHAnsi"/>
        </w:rPr>
        <w:t xml:space="preserve">Centralize banking activities </w:t>
      </w:r>
    </w:p>
    <w:p w14:paraId="30D9232A" w14:textId="77777777" w:rsidR="00723046" w:rsidRPr="006640AA" w:rsidRDefault="00723046" w:rsidP="00723046">
      <w:pPr>
        <w:numPr>
          <w:ilvl w:val="0"/>
          <w:numId w:val="36"/>
        </w:numPr>
        <w:spacing w:before="160" w:after="240"/>
        <w:rPr>
          <w:rFonts w:asciiTheme="minorHAnsi" w:hAnsiTheme="minorHAnsi"/>
        </w:rPr>
      </w:pPr>
      <w:r w:rsidRPr="006640AA">
        <w:rPr>
          <w:rFonts w:asciiTheme="minorHAnsi" w:hAnsiTheme="minorHAnsi"/>
        </w:rPr>
        <w:t>Provide information to meet management needs of the University</w:t>
      </w:r>
    </w:p>
    <w:p w14:paraId="1526BDC1" w14:textId="77777777" w:rsidR="00723046" w:rsidRPr="006640AA" w:rsidRDefault="00723046" w:rsidP="00723046">
      <w:pPr>
        <w:spacing w:before="160" w:after="240"/>
        <w:rPr>
          <w:rFonts w:asciiTheme="minorHAnsi" w:hAnsiTheme="minorHAnsi"/>
        </w:rPr>
      </w:pPr>
      <w:r w:rsidRPr="006640AA">
        <w:rPr>
          <w:rFonts w:asciiTheme="minorHAnsi" w:hAnsiTheme="minorHAnsi"/>
        </w:rPr>
        <w:t>The primary objective of our cash management system is to provide for day-to-day funding needs (liquidity) so that current transactional requirements and obligations can be met.  To accomplish this objective, excess cash is reduced and made available to generate investment income.  Accurate cash flow forecasts and implementation of our investment objectives are essential to our investment program.  Safety of university assets is also a principal concern of our cash management and investment program.  Every effort is made to mitigate both credit risk and interest rate risk for all funds deposited or invested.</w:t>
      </w:r>
    </w:p>
    <w:p w14:paraId="0A4A5122" w14:textId="77777777" w:rsidR="00723046" w:rsidRPr="006640AA" w:rsidRDefault="00723046" w:rsidP="00723046">
      <w:pPr>
        <w:spacing w:before="160" w:after="240"/>
        <w:rPr>
          <w:rFonts w:asciiTheme="minorHAnsi" w:hAnsiTheme="minorHAnsi"/>
        </w:rPr>
      </w:pPr>
      <w:r w:rsidRPr="006640AA">
        <w:rPr>
          <w:rFonts w:asciiTheme="minorHAnsi" w:hAnsiTheme="minorHAnsi"/>
        </w:rPr>
        <w:t>The use of centralized bank accounts and electronic funds transfer (EFT), and use of the Automated Clearing House (ACH) has further enhanced our investment goals.  University of Louisiana at Monroe has placed cash management as a major goal and has recognized the significant returns available from implementing our objectives.</w:t>
      </w:r>
    </w:p>
    <w:p w14:paraId="60174BC8" w14:textId="77777777" w:rsidR="00723046" w:rsidRPr="006640AA" w:rsidRDefault="00723046" w:rsidP="00723046">
      <w:pPr>
        <w:spacing w:before="160" w:after="240"/>
        <w:rPr>
          <w:rFonts w:asciiTheme="minorHAnsi" w:hAnsiTheme="minorHAnsi"/>
        </w:rPr>
      </w:pPr>
      <w:r w:rsidRPr="006640AA">
        <w:rPr>
          <w:rFonts w:asciiTheme="minorHAnsi" w:hAnsiTheme="minorHAnsi"/>
        </w:rPr>
        <w:lastRenderedPageBreak/>
        <w:t xml:space="preserve">The University utilizes short-term cash forecasts to:  (1) determine cash needs for operations, (2) manage the investment of excess cash.  The Associate Controller coordinates and directs the University’s short-term cash management program under the supervision of the Controller.  </w:t>
      </w:r>
    </w:p>
    <w:p w14:paraId="78C32DF7" w14:textId="77777777" w:rsidR="00723046" w:rsidRPr="006640AA" w:rsidRDefault="00723046" w:rsidP="00723046">
      <w:pPr>
        <w:spacing w:before="160" w:after="240"/>
        <w:rPr>
          <w:rFonts w:asciiTheme="minorHAnsi" w:hAnsiTheme="minorHAnsi"/>
        </w:rPr>
      </w:pPr>
      <w:r w:rsidRPr="006640AA">
        <w:rPr>
          <w:rFonts w:asciiTheme="minorHAnsi" w:hAnsiTheme="minorHAnsi"/>
        </w:rPr>
        <w:t xml:space="preserve">Banking activities are reviewed daily and cash needs are anticipated based on recurring and/or expected transactions.  The Associate Controller coordinates with the Accounts Payable Manager and the Assistant Controller for Payroll to forecast funds needed for weekly check writings and bi-weekly payroll expenses.  </w:t>
      </w:r>
    </w:p>
    <w:p w14:paraId="72C755A9" w14:textId="77777777" w:rsidR="00723046" w:rsidRPr="006640AA" w:rsidRDefault="00723046" w:rsidP="00723046">
      <w:pPr>
        <w:spacing w:before="160" w:after="240"/>
        <w:rPr>
          <w:rFonts w:asciiTheme="minorHAnsi" w:hAnsiTheme="minorHAnsi"/>
        </w:rPr>
      </w:pPr>
      <w:r w:rsidRPr="006640AA">
        <w:rPr>
          <w:rFonts w:asciiTheme="minorHAnsi" w:hAnsiTheme="minorHAnsi"/>
        </w:rPr>
        <w:t>The cash forecasting information prepared for short-term cash needs is the basis for projecting funds available for longer-term investment opportunities.  Time Certificates of Deposit with maturities not exceeding terms outlined in (R.S. 49:327B), money market funds, and direct United States Treasury Bills are the primary long-term investments used by the University.  Additional investment options include United States government agency obligations and direct security repurchase agreements.</w:t>
      </w:r>
    </w:p>
    <w:p w14:paraId="642E3B30" w14:textId="77777777" w:rsidR="009C60B1" w:rsidRPr="006640AA" w:rsidRDefault="009C60B1" w:rsidP="00DB4992">
      <w:pPr>
        <w:pStyle w:val="Heading3"/>
        <w:numPr>
          <w:ilvl w:val="0"/>
          <w:numId w:val="37"/>
        </w:numPr>
        <w:pBdr>
          <w:top w:val="single" w:sz="4" w:space="1" w:color="C00000"/>
          <w:left w:val="single" w:sz="4" w:space="4" w:color="C00000"/>
          <w:bottom w:val="single" w:sz="4" w:space="1" w:color="C00000"/>
          <w:right w:val="single" w:sz="4" w:space="4" w:color="C00000"/>
        </w:pBdr>
        <w:shd w:val="clear" w:color="auto" w:fill="740027"/>
        <w:rPr>
          <w:rFonts w:asciiTheme="minorHAnsi" w:hAnsiTheme="minorHAnsi"/>
        </w:rPr>
      </w:pPr>
      <w:bookmarkStart w:id="2" w:name="_III._Applicability"/>
      <w:bookmarkEnd w:id="2"/>
      <w:r w:rsidRPr="006640AA">
        <w:rPr>
          <w:rFonts w:asciiTheme="minorHAnsi" w:hAnsiTheme="minorHAnsi"/>
        </w:rPr>
        <w:tab/>
        <w:t>Applicability</w:t>
      </w:r>
    </w:p>
    <w:p w14:paraId="5CA197F2" w14:textId="77777777" w:rsidR="00170706" w:rsidRDefault="00170706" w:rsidP="00170706">
      <w:pPr>
        <w:pStyle w:val="xmsonormal"/>
        <w:shd w:val="clear" w:color="auto" w:fill="FFFFFF"/>
        <w:spacing w:before="160" w:beforeAutospacing="0" w:after="240" w:afterAutospacing="0"/>
        <w:textAlignment w:val="baseline"/>
        <w:rPr>
          <w:color w:val="201F1E"/>
        </w:rPr>
      </w:pPr>
      <w:r>
        <w:rPr>
          <w:rFonts w:ascii="Calibri" w:hAnsi="Calibri"/>
          <w:color w:val="000000"/>
          <w:bdr w:val="none" w:sz="0" w:space="0" w:color="auto" w:frame="1"/>
        </w:rPr>
        <w:t>This policy applies to Vice President for Business Affairs, Business Affairs Staff and any Controller's Office personnel responsible for the short-term management and long-term investing of the University's funds.</w:t>
      </w:r>
    </w:p>
    <w:p w14:paraId="3E4F1441" w14:textId="77777777" w:rsidR="009C60B1" w:rsidRPr="006640AA" w:rsidRDefault="009C60B1" w:rsidP="00DB4992">
      <w:pPr>
        <w:pStyle w:val="Heading3"/>
        <w:numPr>
          <w:ilvl w:val="0"/>
          <w:numId w:val="38"/>
        </w:numPr>
        <w:pBdr>
          <w:top w:val="single" w:sz="4" w:space="1" w:color="C00000"/>
          <w:left w:val="single" w:sz="4" w:space="4" w:color="C00000"/>
          <w:bottom w:val="single" w:sz="4" w:space="1" w:color="C00000"/>
          <w:right w:val="single" w:sz="4" w:space="4" w:color="C00000"/>
        </w:pBdr>
        <w:shd w:val="clear" w:color="auto" w:fill="740027"/>
        <w:rPr>
          <w:rFonts w:asciiTheme="minorHAnsi" w:hAnsiTheme="minorHAnsi"/>
        </w:rPr>
      </w:pPr>
      <w:bookmarkStart w:id="3" w:name="_IV._Definitions"/>
      <w:bookmarkEnd w:id="3"/>
      <w:r w:rsidRPr="006640AA">
        <w:rPr>
          <w:rFonts w:asciiTheme="minorHAnsi" w:hAnsiTheme="minorHAnsi"/>
        </w:rPr>
        <w:tab/>
        <w:t>Definitions</w:t>
      </w:r>
    </w:p>
    <w:p w14:paraId="7AC8C652" w14:textId="77777777" w:rsidR="00723046" w:rsidRPr="005410B4" w:rsidRDefault="00723046" w:rsidP="00723046">
      <w:pPr>
        <w:spacing w:before="160" w:after="240"/>
        <w:rPr>
          <w:rFonts w:asciiTheme="minorHAnsi" w:hAnsiTheme="minorHAnsi"/>
        </w:rPr>
      </w:pPr>
      <w:r w:rsidRPr="005410B4">
        <w:rPr>
          <w:rFonts w:asciiTheme="minorHAnsi" w:hAnsiTheme="minorHAnsi"/>
          <w:u w:val="single"/>
        </w:rPr>
        <w:t>Automated Clearing House (ACH)</w:t>
      </w:r>
      <w:r w:rsidRPr="005410B4">
        <w:rPr>
          <w:rFonts w:asciiTheme="minorHAnsi" w:hAnsiTheme="minorHAnsi"/>
        </w:rPr>
        <w:t xml:space="preserve"> – The electronic clearing and settlement system used for financial transactions by US commercial banks and other institutions.</w:t>
      </w:r>
    </w:p>
    <w:p w14:paraId="036D2749" w14:textId="77777777" w:rsidR="00723046" w:rsidRPr="005410B4" w:rsidRDefault="00723046" w:rsidP="00723046">
      <w:pPr>
        <w:spacing w:before="160" w:after="240"/>
        <w:rPr>
          <w:rFonts w:asciiTheme="minorHAnsi" w:hAnsiTheme="minorHAnsi"/>
        </w:rPr>
      </w:pPr>
      <w:r w:rsidRPr="005410B4">
        <w:rPr>
          <w:rFonts w:asciiTheme="minorHAnsi" w:hAnsiTheme="minorHAnsi"/>
          <w:u w:val="single"/>
        </w:rPr>
        <w:t>Cash Disbursements</w:t>
      </w:r>
      <w:r w:rsidRPr="005410B4">
        <w:rPr>
          <w:rFonts w:asciiTheme="minorHAnsi" w:hAnsiTheme="minorHAnsi"/>
        </w:rPr>
        <w:t xml:space="preserve"> – Cash payments which decreases the cash balance.</w:t>
      </w:r>
    </w:p>
    <w:p w14:paraId="0D88D9CA" w14:textId="77777777" w:rsidR="00723046" w:rsidRPr="005410B4" w:rsidRDefault="00723046" w:rsidP="00723046">
      <w:pPr>
        <w:spacing w:before="160" w:after="240"/>
        <w:rPr>
          <w:rFonts w:asciiTheme="minorHAnsi" w:hAnsiTheme="minorHAnsi"/>
        </w:rPr>
      </w:pPr>
      <w:r w:rsidRPr="005410B4">
        <w:rPr>
          <w:rFonts w:asciiTheme="minorHAnsi" w:hAnsiTheme="minorHAnsi"/>
          <w:u w:val="single"/>
        </w:rPr>
        <w:t>Centralized Cash Management System</w:t>
      </w:r>
      <w:r w:rsidRPr="005410B4">
        <w:rPr>
          <w:rFonts w:asciiTheme="minorHAnsi" w:hAnsiTheme="minorHAnsi"/>
        </w:rPr>
        <w:t xml:space="preserve"> – The consolidation of cash flow decisions to a central authority for the purposes of achieving greater control of cash balances.</w:t>
      </w:r>
    </w:p>
    <w:p w14:paraId="5617CBAF" w14:textId="77777777" w:rsidR="00723046" w:rsidRPr="005410B4" w:rsidRDefault="00723046" w:rsidP="00723046">
      <w:pPr>
        <w:spacing w:before="160" w:after="240"/>
        <w:rPr>
          <w:rFonts w:asciiTheme="minorHAnsi" w:hAnsiTheme="minorHAnsi"/>
        </w:rPr>
      </w:pPr>
      <w:r w:rsidRPr="005410B4">
        <w:rPr>
          <w:rFonts w:asciiTheme="minorHAnsi" w:hAnsiTheme="minorHAnsi"/>
          <w:u w:val="single"/>
        </w:rPr>
        <w:t>Cash Receipts</w:t>
      </w:r>
      <w:r w:rsidRPr="005410B4">
        <w:rPr>
          <w:rFonts w:asciiTheme="minorHAnsi" w:hAnsiTheme="minorHAnsi"/>
        </w:rPr>
        <w:t xml:space="preserve"> – Collection of money which increases the cash balance.</w:t>
      </w:r>
    </w:p>
    <w:p w14:paraId="69EDE658" w14:textId="77777777" w:rsidR="00723046" w:rsidRPr="005410B4" w:rsidRDefault="00723046" w:rsidP="00723046">
      <w:pPr>
        <w:spacing w:before="160" w:after="240"/>
        <w:rPr>
          <w:rFonts w:asciiTheme="minorHAnsi" w:hAnsiTheme="minorHAnsi"/>
        </w:rPr>
      </w:pPr>
      <w:r w:rsidRPr="005410B4">
        <w:rPr>
          <w:rFonts w:asciiTheme="minorHAnsi" w:hAnsiTheme="minorHAnsi"/>
          <w:u w:val="single"/>
        </w:rPr>
        <w:t>Debt Service</w:t>
      </w:r>
      <w:r w:rsidRPr="005410B4">
        <w:rPr>
          <w:rFonts w:asciiTheme="minorHAnsi" w:hAnsiTheme="minorHAnsi"/>
        </w:rPr>
        <w:t xml:space="preserve"> – The amount of money during a period of time (monthly, quarterly, annually) that it takes to pay on long-term debt, including both principal and interest.  </w:t>
      </w:r>
    </w:p>
    <w:p w14:paraId="66AA9BC7" w14:textId="77777777" w:rsidR="00723046" w:rsidRPr="005410B4" w:rsidRDefault="00723046" w:rsidP="00723046">
      <w:pPr>
        <w:spacing w:before="160" w:after="240"/>
        <w:rPr>
          <w:rFonts w:asciiTheme="minorHAnsi" w:hAnsiTheme="minorHAnsi"/>
        </w:rPr>
      </w:pPr>
      <w:r w:rsidRPr="005410B4">
        <w:rPr>
          <w:rFonts w:asciiTheme="minorHAnsi" w:hAnsiTheme="minorHAnsi"/>
          <w:u w:val="single"/>
        </w:rPr>
        <w:t>Electronic Funds Transfer (EFT)</w:t>
      </w:r>
      <w:r w:rsidRPr="005410B4">
        <w:rPr>
          <w:rFonts w:asciiTheme="minorHAnsi" w:hAnsiTheme="minorHAnsi"/>
        </w:rPr>
        <w:t xml:space="preserve"> – Electronic transfer of money from one bank account to another, either within a single financial institution or across multiple institutions, via computer-based systems, without the direct intervention of bank staff.</w:t>
      </w:r>
    </w:p>
    <w:p w14:paraId="3A270B04" w14:textId="77777777" w:rsidR="00723046" w:rsidRPr="005410B4" w:rsidRDefault="00723046" w:rsidP="00723046">
      <w:pPr>
        <w:spacing w:before="160" w:after="240"/>
        <w:rPr>
          <w:rFonts w:asciiTheme="minorHAnsi" w:hAnsiTheme="minorHAnsi"/>
        </w:rPr>
      </w:pPr>
      <w:r w:rsidRPr="005410B4">
        <w:rPr>
          <w:rFonts w:asciiTheme="minorHAnsi" w:hAnsiTheme="minorHAnsi"/>
          <w:u w:val="single"/>
        </w:rPr>
        <w:t>Interest Bearing Account</w:t>
      </w:r>
      <w:r w:rsidRPr="005410B4">
        <w:rPr>
          <w:rFonts w:asciiTheme="minorHAnsi" w:hAnsiTheme="minorHAnsi"/>
        </w:rPr>
        <w:t xml:space="preserve"> – A bank account that earns interest on the daily cash balances.</w:t>
      </w:r>
    </w:p>
    <w:p w14:paraId="06DE7D9C" w14:textId="77777777" w:rsidR="00723046" w:rsidRPr="005410B4" w:rsidRDefault="00723046" w:rsidP="00723046">
      <w:pPr>
        <w:spacing w:before="160" w:after="240"/>
        <w:rPr>
          <w:rFonts w:asciiTheme="minorHAnsi" w:hAnsiTheme="minorHAnsi"/>
        </w:rPr>
      </w:pPr>
      <w:r w:rsidRPr="005410B4">
        <w:rPr>
          <w:rFonts w:asciiTheme="minorHAnsi" w:hAnsiTheme="minorHAnsi"/>
          <w:u w:val="single"/>
        </w:rPr>
        <w:t>Long-term Investments</w:t>
      </w:r>
      <w:r w:rsidRPr="005410B4">
        <w:rPr>
          <w:rFonts w:asciiTheme="minorHAnsi" w:hAnsiTheme="minorHAnsi"/>
        </w:rPr>
        <w:t xml:space="preserve"> – Investments that last for a period of time longer than 90 days.  </w:t>
      </w:r>
    </w:p>
    <w:p w14:paraId="20858564" w14:textId="77777777" w:rsidR="00723046" w:rsidRPr="005410B4" w:rsidRDefault="00723046" w:rsidP="00723046">
      <w:pPr>
        <w:spacing w:before="160" w:after="240"/>
        <w:rPr>
          <w:rFonts w:asciiTheme="minorHAnsi" w:hAnsiTheme="minorHAnsi"/>
          <w:u w:val="single"/>
        </w:rPr>
      </w:pPr>
      <w:r w:rsidRPr="005410B4">
        <w:rPr>
          <w:rFonts w:asciiTheme="minorHAnsi" w:hAnsiTheme="minorHAnsi"/>
          <w:u w:val="single"/>
        </w:rPr>
        <w:t xml:space="preserve">Short-term Cash Forecasts </w:t>
      </w:r>
      <w:r w:rsidRPr="005410B4">
        <w:rPr>
          <w:rFonts w:asciiTheme="minorHAnsi" w:hAnsiTheme="minorHAnsi"/>
        </w:rPr>
        <w:t>– Forecasts of cash needed for a period of time of 90 days or less.</w:t>
      </w:r>
    </w:p>
    <w:p w14:paraId="3D5B1E40" w14:textId="77777777" w:rsidR="00723046" w:rsidRPr="006640AA" w:rsidRDefault="00723046" w:rsidP="00723046">
      <w:pPr>
        <w:spacing w:before="160" w:after="240"/>
        <w:rPr>
          <w:rFonts w:asciiTheme="minorHAnsi" w:hAnsiTheme="minorHAnsi"/>
        </w:rPr>
      </w:pPr>
      <w:r w:rsidRPr="005410B4">
        <w:rPr>
          <w:rFonts w:asciiTheme="minorHAnsi" w:hAnsiTheme="minorHAnsi"/>
          <w:u w:val="single"/>
        </w:rPr>
        <w:t>Sweep Account</w:t>
      </w:r>
      <w:r w:rsidRPr="005410B4">
        <w:rPr>
          <w:rFonts w:asciiTheme="minorHAnsi" w:hAnsiTheme="minorHAnsi"/>
        </w:rPr>
        <w:t xml:space="preserve"> – A bank account that automatically transfers amounts that exceed, or fall short of, a certain level into a higher interest-earning investment option at the close of each business day.</w:t>
      </w:r>
    </w:p>
    <w:p w14:paraId="6BA45DAE" w14:textId="77777777" w:rsidR="009C60B1" w:rsidRPr="006640AA" w:rsidRDefault="009C60B1" w:rsidP="00DB4992">
      <w:pPr>
        <w:pStyle w:val="Heading3"/>
        <w:numPr>
          <w:ilvl w:val="0"/>
          <w:numId w:val="39"/>
        </w:numPr>
        <w:pBdr>
          <w:top w:val="single" w:sz="4" w:space="1" w:color="C00000"/>
          <w:left w:val="single" w:sz="4" w:space="4" w:color="C00000"/>
          <w:bottom w:val="single" w:sz="4" w:space="1" w:color="C00000"/>
          <w:right w:val="single" w:sz="4" w:space="4" w:color="C00000"/>
        </w:pBdr>
        <w:shd w:val="clear" w:color="auto" w:fill="740027"/>
        <w:rPr>
          <w:rFonts w:asciiTheme="minorHAnsi" w:hAnsiTheme="minorHAnsi"/>
        </w:rPr>
      </w:pPr>
      <w:bookmarkStart w:id="4" w:name="_V._Policy_Procedure"/>
      <w:bookmarkEnd w:id="4"/>
      <w:r w:rsidRPr="006640AA">
        <w:rPr>
          <w:rFonts w:asciiTheme="minorHAnsi" w:hAnsiTheme="minorHAnsi"/>
        </w:rPr>
        <w:lastRenderedPageBreak/>
        <w:tab/>
        <w:t>Policy Procedure</w:t>
      </w:r>
    </w:p>
    <w:p w14:paraId="1BAAD3A6" w14:textId="77777777" w:rsidR="00723046" w:rsidRPr="006640AA" w:rsidRDefault="00723046" w:rsidP="00723046">
      <w:pPr>
        <w:spacing w:before="160" w:after="240"/>
        <w:rPr>
          <w:rFonts w:asciiTheme="minorHAnsi" w:hAnsiTheme="minorHAnsi"/>
        </w:rPr>
      </w:pPr>
      <w:r w:rsidRPr="006640AA">
        <w:rPr>
          <w:rFonts w:asciiTheme="minorHAnsi" w:hAnsiTheme="minorHAnsi"/>
          <w:u w:val="single"/>
        </w:rPr>
        <w:t>Short-Term Investments</w:t>
      </w:r>
      <w:r w:rsidRPr="006640AA">
        <w:rPr>
          <w:rFonts w:asciiTheme="minorHAnsi" w:hAnsiTheme="minorHAnsi"/>
        </w:rPr>
        <w:t xml:space="preserve"> (less than 90 days)</w:t>
      </w:r>
    </w:p>
    <w:p w14:paraId="03864F77" w14:textId="77777777" w:rsidR="00723046" w:rsidRDefault="00723046" w:rsidP="00912B84">
      <w:pPr>
        <w:rPr>
          <w:rFonts w:asciiTheme="minorHAnsi" w:hAnsiTheme="minorHAnsi"/>
        </w:rPr>
      </w:pPr>
      <w:r w:rsidRPr="006640AA">
        <w:rPr>
          <w:rFonts w:asciiTheme="minorHAnsi" w:hAnsiTheme="minorHAnsi"/>
        </w:rPr>
        <w:t>The following information and procedures are taken into consideration when forecasting the University’s cash flows on a weekly basis:</w:t>
      </w:r>
    </w:p>
    <w:p w14:paraId="52A338A2" w14:textId="77777777" w:rsidR="00723046" w:rsidRPr="006640AA" w:rsidRDefault="00723046" w:rsidP="00912B84">
      <w:pPr>
        <w:pStyle w:val="ListParagraph"/>
        <w:numPr>
          <w:ilvl w:val="0"/>
          <w:numId w:val="30"/>
        </w:numPr>
        <w:spacing w:before="160" w:after="0"/>
        <w:ind w:left="360"/>
        <w:rPr>
          <w:rFonts w:asciiTheme="minorHAnsi" w:hAnsiTheme="minorHAnsi"/>
          <w:sz w:val="24"/>
          <w:szCs w:val="24"/>
        </w:rPr>
      </w:pPr>
      <w:r w:rsidRPr="006640AA">
        <w:rPr>
          <w:rFonts w:asciiTheme="minorHAnsi" w:hAnsiTheme="minorHAnsi"/>
          <w:sz w:val="24"/>
          <w:szCs w:val="24"/>
        </w:rPr>
        <w:t>Cash receipts anticipated</w:t>
      </w:r>
    </w:p>
    <w:p w14:paraId="5AC085BA" w14:textId="77777777" w:rsidR="00723046" w:rsidRPr="006640AA" w:rsidRDefault="00723046" w:rsidP="006640AA">
      <w:pPr>
        <w:pStyle w:val="ListParagraph"/>
        <w:numPr>
          <w:ilvl w:val="1"/>
          <w:numId w:val="29"/>
        </w:numPr>
        <w:spacing w:before="160" w:after="240"/>
        <w:ind w:left="720"/>
        <w:rPr>
          <w:rFonts w:asciiTheme="minorHAnsi" w:hAnsiTheme="minorHAnsi"/>
          <w:sz w:val="24"/>
          <w:szCs w:val="24"/>
        </w:rPr>
      </w:pPr>
      <w:r w:rsidRPr="006640AA">
        <w:rPr>
          <w:rFonts w:asciiTheme="minorHAnsi" w:hAnsiTheme="minorHAnsi"/>
          <w:sz w:val="24"/>
          <w:szCs w:val="24"/>
        </w:rPr>
        <w:t>Registration monies, State Appropriation funds, Other State Funds, Federal funds, maturing investments, invoice payments, and other larger receipts are monitored.</w:t>
      </w:r>
    </w:p>
    <w:p w14:paraId="26D71979" w14:textId="77777777" w:rsidR="00723046" w:rsidRPr="006640AA" w:rsidRDefault="00723046" w:rsidP="006640AA">
      <w:pPr>
        <w:pStyle w:val="ListParagraph"/>
        <w:numPr>
          <w:ilvl w:val="1"/>
          <w:numId w:val="29"/>
        </w:numPr>
        <w:spacing w:before="160" w:after="240"/>
        <w:ind w:left="720"/>
        <w:rPr>
          <w:rFonts w:asciiTheme="minorHAnsi" w:hAnsiTheme="minorHAnsi"/>
          <w:sz w:val="24"/>
          <w:szCs w:val="24"/>
        </w:rPr>
      </w:pPr>
      <w:r w:rsidRPr="006640AA">
        <w:rPr>
          <w:rFonts w:asciiTheme="minorHAnsi" w:hAnsiTheme="minorHAnsi"/>
          <w:sz w:val="24"/>
          <w:szCs w:val="24"/>
        </w:rPr>
        <w:t>Each major cash receipt item is identified by source, projected date of arrival, and amount with information forwarded to the Associate Controller.</w:t>
      </w:r>
    </w:p>
    <w:p w14:paraId="24F8F5D3" w14:textId="77777777" w:rsidR="00723046" w:rsidRPr="006640AA" w:rsidRDefault="00723046" w:rsidP="006640AA">
      <w:pPr>
        <w:pStyle w:val="ListParagraph"/>
        <w:numPr>
          <w:ilvl w:val="1"/>
          <w:numId w:val="29"/>
        </w:numPr>
        <w:spacing w:before="160" w:after="240"/>
        <w:ind w:left="720"/>
        <w:rPr>
          <w:rFonts w:asciiTheme="minorHAnsi" w:hAnsiTheme="minorHAnsi"/>
          <w:sz w:val="24"/>
          <w:szCs w:val="24"/>
        </w:rPr>
      </w:pPr>
      <w:r w:rsidRPr="006640AA">
        <w:rPr>
          <w:rFonts w:asciiTheme="minorHAnsi" w:hAnsiTheme="minorHAnsi"/>
          <w:sz w:val="24"/>
          <w:szCs w:val="24"/>
        </w:rPr>
        <w:t>The Associate Controller monitors daily incoming receipts from EFT/ACH for investment and payment purposes.</w:t>
      </w:r>
    </w:p>
    <w:p w14:paraId="7DFB6256" w14:textId="77777777" w:rsidR="00723046" w:rsidRPr="006640AA" w:rsidRDefault="00723046" w:rsidP="00723046">
      <w:pPr>
        <w:pStyle w:val="ListParagraph"/>
        <w:spacing w:before="160" w:after="240"/>
        <w:ind w:left="1440"/>
        <w:rPr>
          <w:rFonts w:asciiTheme="minorHAnsi" w:hAnsiTheme="minorHAnsi"/>
          <w:sz w:val="24"/>
          <w:szCs w:val="24"/>
        </w:rPr>
      </w:pPr>
    </w:p>
    <w:p w14:paraId="2FF87069" w14:textId="77777777" w:rsidR="00723046" w:rsidRPr="006640AA" w:rsidRDefault="00723046" w:rsidP="006640AA">
      <w:pPr>
        <w:pStyle w:val="ListParagraph"/>
        <w:numPr>
          <w:ilvl w:val="0"/>
          <w:numId w:val="29"/>
        </w:numPr>
        <w:spacing w:before="160" w:after="240"/>
        <w:ind w:left="360"/>
        <w:rPr>
          <w:rFonts w:asciiTheme="minorHAnsi" w:hAnsiTheme="minorHAnsi"/>
          <w:sz w:val="24"/>
          <w:szCs w:val="24"/>
        </w:rPr>
      </w:pPr>
      <w:r w:rsidRPr="006640AA">
        <w:rPr>
          <w:rFonts w:asciiTheme="minorHAnsi" w:hAnsiTheme="minorHAnsi"/>
          <w:sz w:val="24"/>
          <w:szCs w:val="24"/>
        </w:rPr>
        <w:t>Cash disbursements anticipated</w:t>
      </w:r>
    </w:p>
    <w:p w14:paraId="68FD26A9" w14:textId="77777777" w:rsidR="00723046" w:rsidRPr="006640AA" w:rsidRDefault="00723046" w:rsidP="006640AA">
      <w:pPr>
        <w:pStyle w:val="ListParagraph"/>
        <w:numPr>
          <w:ilvl w:val="1"/>
          <w:numId w:val="29"/>
        </w:numPr>
        <w:spacing w:before="160" w:after="240"/>
        <w:ind w:left="720"/>
        <w:rPr>
          <w:rFonts w:asciiTheme="minorHAnsi" w:hAnsiTheme="minorHAnsi"/>
          <w:sz w:val="24"/>
          <w:szCs w:val="24"/>
        </w:rPr>
      </w:pPr>
      <w:r w:rsidRPr="006640AA">
        <w:rPr>
          <w:rFonts w:asciiTheme="minorHAnsi" w:hAnsiTheme="minorHAnsi"/>
          <w:sz w:val="24"/>
          <w:szCs w:val="24"/>
        </w:rPr>
        <w:t>Payrolls, financial aid, debt service, utilities, retirement contributions, taxes and insurance liabilities, and other large payments are identified.</w:t>
      </w:r>
    </w:p>
    <w:p w14:paraId="52C11C47" w14:textId="77777777" w:rsidR="00723046" w:rsidRPr="006640AA" w:rsidRDefault="00723046" w:rsidP="006640AA">
      <w:pPr>
        <w:pStyle w:val="ListParagraph"/>
        <w:numPr>
          <w:ilvl w:val="1"/>
          <w:numId w:val="29"/>
        </w:numPr>
        <w:spacing w:before="160" w:after="240"/>
        <w:ind w:left="720"/>
        <w:rPr>
          <w:rFonts w:asciiTheme="minorHAnsi" w:hAnsiTheme="minorHAnsi"/>
          <w:sz w:val="24"/>
          <w:szCs w:val="24"/>
        </w:rPr>
      </w:pPr>
      <w:r w:rsidRPr="006640AA">
        <w:rPr>
          <w:rFonts w:asciiTheme="minorHAnsi" w:hAnsiTheme="minorHAnsi"/>
          <w:sz w:val="24"/>
          <w:szCs w:val="24"/>
        </w:rPr>
        <w:t>Each major cash disbursement item is coordinated through Accounts Payable or Payroll as to wire date, mailing date, and float time.</w:t>
      </w:r>
    </w:p>
    <w:p w14:paraId="5566A56F" w14:textId="77777777" w:rsidR="00723046" w:rsidRPr="006640AA" w:rsidRDefault="00723046" w:rsidP="00723046">
      <w:pPr>
        <w:pStyle w:val="ListParagraph"/>
        <w:spacing w:before="160" w:after="240"/>
        <w:ind w:left="1440"/>
        <w:rPr>
          <w:rFonts w:asciiTheme="minorHAnsi" w:hAnsiTheme="minorHAnsi"/>
          <w:sz w:val="24"/>
          <w:szCs w:val="24"/>
        </w:rPr>
      </w:pPr>
    </w:p>
    <w:p w14:paraId="5DE584C4" w14:textId="77777777" w:rsidR="00723046" w:rsidRPr="006640AA" w:rsidRDefault="00723046" w:rsidP="006640AA">
      <w:pPr>
        <w:pStyle w:val="ListParagraph"/>
        <w:numPr>
          <w:ilvl w:val="0"/>
          <w:numId w:val="29"/>
        </w:numPr>
        <w:spacing w:before="160" w:after="240"/>
        <w:ind w:left="360"/>
        <w:rPr>
          <w:rFonts w:asciiTheme="minorHAnsi" w:hAnsiTheme="minorHAnsi"/>
          <w:sz w:val="24"/>
          <w:szCs w:val="24"/>
        </w:rPr>
      </w:pPr>
      <w:r w:rsidRPr="006640AA">
        <w:rPr>
          <w:rFonts w:asciiTheme="minorHAnsi" w:hAnsiTheme="minorHAnsi"/>
          <w:sz w:val="24"/>
          <w:szCs w:val="24"/>
        </w:rPr>
        <w:t>Monthly calendars for payroll and accounts payable distributions list anticipated date of distribution for large distribution items with specified individuals responsible for each major item and its coordination for EFT transfer distributions.</w:t>
      </w:r>
    </w:p>
    <w:p w14:paraId="49232D31" w14:textId="77777777" w:rsidR="00723046" w:rsidRPr="006640AA" w:rsidRDefault="00723046" w:rsidP="006640AA">
      <w:pPr>
        <w:spacing w:before="160" w:after="240"/>
        <w:ind w:left="360"/>
        <w:rPr>
          <w:rFonts w:asciiTheme="minorHAnsi" w:hAnsiTheme="minorHAnsi"/>
        </w:rPr>
      </w:pPr>
      <w:r w:rsidRPr="006640AA">
        <w:rPr>
          <w:rFonts w:asciiTheme="minorHAnsi" w:hAnsiTheme="minorHAnsi"/>
        </w:rPr>
        <w:t>University of Louisiana Monroe has agreements with area banks for interest bearing demand accounts (super now, money-market, etc.) so that all funds on deposit other than “clearing” accounts are invested.  Interest rates on demand accounts may vary from bank to bank and in accordance with account activity.</w:t>
      </w:r>
    </w:p>
    <w:p w14:paraId="65899068" w14:textId="77777777" w:rsidR="00723046" w:rsidRPr="006640AA" w:rsidRDefault="00723046" w:rsidP="006640AA">
      <w:pPr>
        <w:spacing w:before="160" w:after="240"/>
        <w:ind w:left="360"/>
        <w:rPr>
          <w:rFonts w:asciiTheme="minorHAnsi" w:hAnsiTheme="minorHAnsi"/>
        </w:rPr>
      </w:pPr>
      <w:r w:rsidRPr="006640AA">
        <w:rPr>
          <w:rFonts w:asciiTheme="minorHAnsi" w:hAnsiTheme="minorHAnsi"/>
        </w:rPr>
        <w:t>The University’s central cash account management allows efficient deposit, collection, transfer, and investment of funds.  For its disbursement (federal) account, the University utilizes an interest bearing account with funds earning interest daily.</w:t>
      </w:r>
    </w:p>
    <w:p w14:paraId="6975DD4A" w14:textId="77777777" w:rsidR="00723046" w:rsidRPr="006640AA" w:rsidRDefault="00723046" w:rsidP="006640AA">
      <w:pPr>
        <w:spacing w:before="160" w:after="240"/>
        <w:ind w:left="360"/>
        <w:rPr>
          <w:rFonts w:asciiTheme="minorHAnsi" w:hAnsiTheme="minorHAnsi"/>
        </w:rPr>
      </w:pPr>
      <w:r w:rsidRPr="006640AA">
        <w:rPr>
          <w:rFonts w:asciiTheme="minorHAnsi" w:hAnsiTheme="minorHAnsi"/>
        </w:rPr>
        <w:t>The payroll account utilizes a “Sweep account” where monies transfer from an interest bearing account to cover all checks clearing for that day.  Transferring of funds electronically between accounts and banks has replaced checks for many large dollar transactions in the University’s cash management system.</w:t>
      </w:r>
    </w:p>
    <w:p w14:paraId="69B75538" w14:textId="77777777" w:rsidR="00723046" w:rsidRPr="006640AA" w:rsidRDefault="00723046" w:rsidP="006640AA">
      <w:pPr>
        <w:spacing w:before="160" w:after="240"/>
        <w:ind w:left="360"/>
        <w:rPr>
          <w:rFonts w:asciiTheme="minorHAnsi" w:hAnsiTheme="minorHAnsi"/>
        </w:rPr>
      </w:pPr>
      <w:r w:rsidRPr="006640AA">
        <w:rPr>
          <w:rFonts w:asciiTheme="minorHAnsi" w:hAnsiTheme="minorHAnsi"/>
        </w:rPr>
        <w:t>Coordination of cash receipts and disbursements are a primary goal in effective management of short-term investments.  The Controller is aware of the University’s investment objectives and the specific procedures required fulfilling them.</w:t>
      </w:r>
    </w:p>
    <w:p w14:paraId="394D306B" w14:textId="77777777" w:rsidR="00723046" w:rsidRPr="006640AA" w:rsidRDefault="00723046" w:rsidP="006640AA">
      <w:pPr>
        <w:spacing w:before="160" w:after="240"/>
        <w:ind w:left="360"/>
        <w:rPr>
          <w:rFonts w:asciiTheme="minorHAnsi" w:hAnsiTheme="minorHAnsi"/>
        </w:rPr>
      </w:pPr>
      <w:r w:rsidRPr="006640AA">
        <w:rPr>
          <w:rFonts w:asciiTheme="minorHAnsi" w:hAnsiTheme="minorHAnsi"/>
        </w:rPr>
        <w:t>Investments allowed include money market funds, time certificates of deposit, direct security repurchase agreement, direct United States Treasury Obligations, and Unites States Government Agency Obligations.</w:t>
      </w:r>
    </w:p>
    <w:p w14:paraId="61474200" w14:textId="77777777" w:rsidR="00723046" w:rsidRPr="006640AA" w:rsidRDefault="00723046" w:rsidP="00723046">
      <w:pPr>
        <w:spacing w:before="160" w:after="240"/>
        <w:rPr>
          <w:rFonts w:asciiTheme="minorHAnsi" w:hAnsiTheme="minorHAnsi"/>
        </w:rPr>
      </w:pPr>
      <w:r w:rsidRPr="006640AA">
        <w:rPr>
          <w:rFonts w:asciiTheme="minorHAnsi" w:hAnsiTheme="minorHAnsi"/>
          <w:u w:val="single"/>
        </w:rPr>
        <w:t>Long-Term Investments</w:t>
      </w:r>
      <w:r w:rsidRPr="006640AA">
        <w:rPr>
          <w:rFonts w:asciiTheme="minorHAnsi" w:hAnsiTheme="minorHAnsi"/>
        </w:rPr>
        <w:t xml:space="preserve"> (90 days or longer)</w:t>
      </w:r>
    </w:p>
    <w:p w14:paraId="05BBDEA2" w14:textId="77777777" w:rsidR="00723046" w:rsidRPr="006640AA" w:rsidRDefault="00723046" w:rsidP="00723046">
      <w:pPr>
        <w:spacing w:before="160" w:after="240"/>
        <w:rPr>
          <w:rFonts w:asciiTheme="minorHAnsi" w:hAnsiTheme="minorHAnsi"/>
        </w:rPr>
      </w:pPr>
      <w:r w:rsidRPr="006640AA">
        <w:rPr>
          <w:rFonts w:asciiTheme="minorHAnsi" w:hAnsiTheme="minorHAnsi"/>
        </w:rPr>
        <w:lastRenderedPageBreak/>
        <w:t>Once funds are determined to be available for long-term investment, the following procedures are utilized:</w:t>
      </w:r>
    </w:p>
    <w:p w14:paraId="13589E28" w14:textId="77777777" w:rsidR="00723046" w:rsidRPr="006640AA" w:rsidRDefault="00723046" w:rsidP="006640AA">
      <w:pPr>
        <w:pStyle w:val="ListParagraph"/>
        <w:numPr>
          <w:ilvl w:val="0"/>
          <w:numId w:val="31"/>
        </w:numPr>
        <w:spacing w:after="0"/>
        <w:ind w:left="360"/>
        <w:rPr>
          <w:rFonts w:asciiTheme="minorHAnsi" w:hAnsiTheme="minorHAnsi"/>
          <w:sz w:val="24"/>
          <w:szCs w:val="24"/>
        </w:rPr>
      </w:pPr>
      <w:r w:rsidRPr="006640AA">
        <w:rPr>
          <w:rFonts w:asciiTheme="minorHAnsi" w:hAnsiTheme="minorHAnsi"/>
          <w:sz w:val="24"/>
          <w:szCs w:val="24"/>
        </w:rPr>
        <w:t>Certificates of Deposit are usually made or T-Bills or other securities are purchased to meet investment goals and are renewed by the University (Payroll, Debt Service, etc.) as necessary.</w:t>
      </w:r>
    </w:p>
    <w:p w14:paraId="49B82BF0" w14:textId="77777777" w:rsidR="00723046" w:rsidRPr="006640AA" w:rsidRDefault="00723046" w:rsidP="006640AA">
      <w:pPr>
        <w:ind w:left="360"/>
        <w:rPr>
          <w:rFonts w:asciiTheme="minorHAnsi" w:hAnsiTheme="minorHAnsi"/>
        </w:rPr>
      </w:pPr>
    </w:p>
    <w:p w14:paraId="397A7400" w14:textId="77777777" w:rsidR="00723046" w:rsidRPr="006640AA" w:rsidRDefault="00723046" w:rsidP="006640AA">
      <w:pPr>
        <w:pStyle w:val="ListParagraph"/>
        <w:numPr>
          <w:ilvl w:val="0"/>
          <w:numId w:val="31"/>
        </w:numPr>
        <w:spacing w:after="0"/>
        <w:ind w:left="360"/>
        <w:rPr>
          <w:rFonts w:asciiTheme="minorHAnsi" w:hAnsiTheme="minorHAnsi"/>
          <w:sz w:val="24"/>
          <w:szCs w:val="24"/>
        </w:rPr>
      </w:pPr>
      <w:r w:rsidRPr="006640AA">
        <w:rPr>
          <w:rFonts w:asciiTheme="minorHAnsi" w:hAnsiTheme="minorHAnsi"/>
          <w:sz w:val="24"/>
          <w:szCs w:val="24"/>
        </w:rPr>
        <w:t xml:space="preserve">CD’s, T-Bills, other investments are made in denominations </w:t>
      </w:r>
      <w:r w:rsidRPr="005410B4">
        <w:rPr>
          <w:rFonts w:asciiTheme="minorHAnsi" w:hAnsiTheme="minorHAnsi"/>
          <w:sz w:val="24"/>
          <w:szCs w:val="24"/>
        </w:rPr>
        <w:t>of $500,000 or more</w:t>
      </w:r>
      <w:r w:rsidRPr="006640AA">
        <w:rPr>
          <w:rFonts w:asciiTheme="minorHAnsi" w:hAnsiTheme="minorHAnsi"/>
          <w:sz w:val="24"/>
          <w:szCs w:val="24"/>
        </w:rPr>
        <w:t xml:space="preserve"> to effect better rates from banks.</w:t>
      </w:r>
    </w:p>
    <w:p w14:paraId="29C0E75D" w14:textId="77777777" w:rsidR="00723046" w:rsidRPr="006640AA" w:rsidRDefault="00723046" w:rsidP="00723046">
      <w:pPr>
        <w:pStyle w:val="ListParagraph"/>
        <w:spacing w:after="0"/>
        <w:ind w:left="1080"/>
        <w:rPr>
          <w:rFonts w:asciiTheme="minorHAnsi" w:hAnsiTheme="minorHAnsi"/>
          <w:sz w:val="24"/>
          <w:szCs w:val="24"/>
        </w:rPr>
      </w:pPr>
    </w:p>
    <w:p w14:paraId="68789993" w14:textId="77777777" w:rsidR="00723046" w:rsidRPr="000E54E6" w:rsidRDefault="00B20FD3" w:rsidP="006640AA">
      <w:pPr>
        <w:pStyle w:val="ListParagraph"/>
        <w:numPr>
          <w:ilvl w:val="0"/>
          <w:numId w:val="31"/>
        </w:numPr>
        <w:spacing w:after="0"/>
        <w:ind w:left="360"/>
        <w:rPr>
          <w:rFonts w:asciiTheme="minorHAnsi" w:hAnsiTheme="minorHAnsi"/>
          <w:strike/>
          <w:sz w:val="24"/>
          <w:szCs w:val="24"/>
        </w:rPr>
      </w:pPr>
      <w:r w:rsidRPr="000E54E6">
        <w:rPr>
          <w:rFonts w:asciiTheme="minorHAnsi" w:hAnsiTheme="minorHAnsi"/>
          <w:sz w:val="24"/>
          <w:szCs w:val="24"/>
        </w:rPr>
        <w:t xml:space="preserve">Bank CD’s are purchased for periods not greater than twelve months and are secured by appropriate pledging from respective banks authorized by the Treasurer of the State of Louisiana to receive such deposits.  Each bank must be an approved fiscal agent depository for the state.  All banks having deposits for the University of Louisiana Monroe shall have adequate collateral pledged to cover such deposits.  The T-Bill and other security rates quoted by the banks are reviewed with the </w:t>
      </w:r>
      <w:r w:rsidRPr="000E54E6">
        <w:rPr>
          <w:rFonts w:asciiTheme="minorHAnsi" w:hAnsiTheme="minorHAnsi"/>
          <w:sz w:val="24"/>
          <w:szCs w:val="24"/>
          <w:u w:val="single"/>
        </w:rPr>
        <w:t>Wall Street Journal</w:t>
      </w:r>
      <w:r w:rsidRPr="000E54E6">
        <w:rPr>
          <w:rFonts w:asciiTheme="minorHAnsi" w:hAnsiTheme="minorHAnsi"/>
          <w:sz w:val="24"/>
          <w:szCs w:val="24"/>
        </w:rPr>
        <w:t xml:space="preserve"> for comparison.</w:t>
      </w:r>
    </w:p>
    <w:p w14:paraId="75A87E7B" w14:textId="77777777" w:rsidR="00723046" w:rsidRPr="006640AA" w:rsidRDefault="00723046" w:rsidP="006640AA">
      <w:pPr>
        <w:pStyle w:val="ListParagraph"/>
        <w:ind w:left="360"/>
        <w:rPr>
          <w:rFonts w:asciiTheme="minorHAnsi" w:hAnsiTheme="minorHAnsi"/>
          <w:sz w:val="24"/>
          <w:szCs w:val="24"/>
        </w:rPr>
      </w:pPr>
    </w:p>
    <w:p w14:paraId="5C092BF8" w14:textId="77777777" w:rsidR="00723046" w:rsidRPr="006640AA" w:rsidRDefault="00723046" w:rsidP="006640AA">
      <w:pPr>
        <w:pStyle w:val="ListParagraph"/>
        <w:numPr>
          <w:ilvl w:val="0"/>
          <w:numId w:val="31"/>
        </w:numPr>
        <w:ind w:left="360"/>
        <w:rPr>
          <w:rFonts w:asciiTheme="minorHAnsi" w:hAnsiTheme="minorHAnsi"/>
          <w:sz w:val="24"/>
          <w:szCs w:val="24"/>
        </w:rPr>
      </w:pPr>
      <w:r w:rsidRPr="006640AA">
        <w:rPr>
          <w:rFonts w:asciiTheme="minorHAnsi" w:hAnsiTheme="minorHAnsi"/>
          <w:sz w:val="24"/>
          <w:szCs w:val="24"/>
        </w:rPr>
        <w:t>EFT is utilized to move cash to the bank acquiring the investment.  Accounting entries are made to reflect the University accounts participating in the investment.</w:t>
      </w:r>
    </w:p>
    <w:p w14:paraId="66E8A986" w14:textId="77777777" w:rsidR="00723046" w:rsidRPr="006640AA" w:rsidRDefault="00723046" w:rsidP="006C5408">
      <w:pPr>
        <w:pStyle w:val="ListParagraph"/>
        <w:spacing w:after="0"/>
        <w:ind w:left="1080"/>
        <w:rPr>
          <w:rFonts w:asciiTheme="minorHAnsi" w:hAnsiTheme="minorHAnsi"/>
          <w:sz w:val="24"/>
          <w:szCs w:val="24"/>
        </w:rPr>
      </w:pPr>
    </w:p>
    <w:p w14:paraId="06BC711F" w14:textId="77777777" w:rsidR="00723046" w:rsidRPr="006640AA" w:rsidRDefault="00723046" w:rsidP="00723046">
      <w:pPr>
        <w:rPr>
          <w:rFonts w:asciiTheme="minorHAnsi" w:hAnsiTheme="minorHAnsi" w:cs="Calibri"/>
        </w:rPr>
      </w:pPr>
      <w:r w:rsidRPr="006640AA">
        <w:rPr>
          <w:rFonts w:asciiTheme="minorHAnsi" w:hAnsiTheme="minorHAnsi" w:cs="Calibri"/>
          <w:u w:val="single"/>
        </w:rPr>
        <w:t>Asset Allocation and Investment Guidelines</w:t>
      </w:r>
    </w:p>
    <w:p w14:paraId="064C53E9" w14:textId="77777777" w:rsidR="00723046" w:rsidRPr="006640AA" w:rsidRDefault="00723046" w:rsidP="00723046">
      <w:pPr>
        <w:rPr>
          <w:rFonts w:asciiTheme="minorHAnsi" w:eastAsia="Calibri" w:hAnsiTheme="minorHAnsi"/>
        </w:rPr>
      </w:pPr>
      <w:r w:rsidRPr="006640AA">
        <w:rPr>
          <w:rFonts w:asciiTheme="minorHAnsi" w:eastAsia="Calibri" w:hAnsiTheme="minorHAnsi"/>
        </w:rPr>
        <w:t xml:space="preserve">Since the University’s primary focus is short term cash management, available investment securities are limited to United States Treasury Bills, Bank Certificates of Deposit, United States Government Agency Securities, and repurchase agreements. </w:t>
      </w:r>
    </w:p>
    <w:p w14:paraId="393BB41D" w14:textId="77777777" w:rsidR="00723046" w:rsidRPr="006640AA" w:rsidRDefault="00723046" w:rsidP="00723046">
      <w:pPr>
        <w:rPr>
          <w:rFonts w:asciiTheme="minorHAnsi" w:eastAsia="Calibri" w:hAnsiTheme="minorHAnsi"/>
        </w:rPr>
      </w:pPr>
    </w:p>
    <w:p w14:paraId="4279854A" w14:textId="77777777" w:rsidR="00723046" w:rsidRPr="006640AA" w:rsidRDefault="00723046" w:rsidP="00912B84">
      <w:pPr>
        <w:rPr>
          <w:rFonts w:asciiTheme="minorHAnsi" w:eastAsia="Calibri" w:hAnsiTheme="minorHAnsi"/>
        </w:rPr>
      </w:pPr>
      <w:r w:rsidRPr="006640AA">
        <w:rPr>
          <w:rFonts w:asciiTheme="minorHAnsi" w:eastAsia="Calibri" w:hAnsiTheme="minorHAnsi"/>
        </w:rPr>
        <w:t>Bank Certificates of Deposit are purchased for periods not greater than twelve months and are secured by appropriate pledging from respective banks authorized by the Treasurer of the State of Louisiana to receive such deposits.  All banks having deposits for University of Louisiana at Monroe University shall have adequate collateral pledged to cover such deposits including certificates of deposit as well as any other deposited funds.  Banks are further required to meet the FIRREA regulations including a Security Agreement, (including a pledge of collateral for a deposit), and a Bank Board of Directors Resolution authorizing specific bank offers to execute these agreements.  For U.S. Treasury Securities and Government Agency securities purchased by the University, banks must provide safekeeping receipts, collateral agreements, custodial agreements, and a listing of the correspondent bank actually holding the security.</w:t>
      </w:r>
    </w:p>
    <w:p w14:paraId="4AFB5008" w14:textId="77777777" w:rsidR="00723046" w:rsidRPr="006640AA" w:rsidRDefault="00723046" w:rsidP="00912B84">
      <w:pPr>
        <w:pStyle w:val="ListParagraph"/>
        <w:spacing w:after="0"/>
        <w:ind w:left="1080"/>
        <w:rPr>
          <w:rFonts w:asciiTheme="minorHAnsi" w:hAnsiTheme="minorHAnsi"/>
          <w:sz w:val="24"/>
          <w:szCs w:val="24"/>
        </w:rPr>
      </w:pPr>
    </w:p>
    <w:p w14:paraId="263A2F2E" w14:textId="77777777" w:rsidR="00723046" w:rsidRPr="006640AA" w:rsidRDefault="00723046" w:rsidP="00723046">
      <w:pPr>
        <w:rPr>
          <w:rFonts w:asciiTheme="minorHAnsi" w:eastAsia="Calibri" w:hAnsiTheme="minorHAnsi"/>
        </w:rPr>
      </w:pPr>
      <w:r w:rsidRPr="006640AA">
        <w:rPr>
          <w:rFonts w:asciiTheme="minorHAnsi" w:eastAsia="Calibri" w:hAnsiTheme="minorHAnsi"/>
        </w:rPr>
        <w:t>Monthly collateral reports are sent to the University by each bank holding University funds. The Associate Controller prepares monthly reports showing each bank account, balance, interest rate, interest earnings, service charges and collateral pledged.  This report is reviewed by the Controller and Vice President for Business Affairs.</w:t>
      </w:r>
    </w:p>
    <w:p w14:paraId="2130BD3F" w14:textId="77777777" w:rsidR="00723046" w:rsidRPr="006640AA" w:rsidRDefault="00723046" w:rsidP="00912B84">
      <w:pPr>
        <w:pStyle w:val="ListParagraph"/>
        <w:spacing w:after="0"/>
        <w:ind w:left="1080"/>
        <w:rPr>
          <w:rFonts w:asciiTheme="minorHAnsi" w:hAnsiTheme="minorHAnsi"/>
          <w:sz w:val="24"/>
          <w:szCs w:val="24"/>
        </w:rPr>
      </w:pPr>
    </w:p>
    <w:p w14:paraId="65D8E2F1" w14:textId="77777777" w:rsidR="00723046" w:rsidRPr="006640AA" w:rsidRDefault="00723046" w:rsidP="00723046">
      <w:pPr>
        <w:rPr>
          <w:rFonts w:asciiTheme="minorHAnsi" w:hAnsiTheme="minorHAnsi" w:cs="Calibri"/>
        </w:rPr>
      </w:pPr>
      <w:r w:rsidRPr="006640AA">
        <w:rPr>
          <w:rFonts w:asciiTheme="minorHAnsi" w:hAnsiTheme="minorHAnsi" w:cs="Calibri"/>
          <w:u w:val="single"/>
        </w:rPr>
        <w:t>Performance Evaluation and Safety</w:t>
      </w:r>
    </w:p>
    <w:p w14:paraId="4C871536" w14:textId="77777777" w:rsidR="00723046" w:rsidRPr="006640AA" w:rsidRDefault="00723046" w:rsidP="00723046">
      <w:pPr>
        <w:rPr>
          <w:rFonts w:asciiTheme="minorHAnsi" w:hAnsiTheme="minorHAnsi" w:cs="Calibri"/>
        </w:rPr>
      </w:pPr>
      <w:r w:rsidRPr="006640AA">
        <w:rPr>
          <w:rFonts w:asciiTheme="minorHAnsi" w:hAnsiTheme="minorHAnsi" w:cs="Calibri"/>
        </w:rPr>
        <w:t xml:space="preserve">University employees having responsibilities for cash management and investment activities are bonded through the Office of Risk Management.  Certain University cash wire transactions require verification and authentication through the assignment of unique PIN numbers by various financial institutions and may require second-person verification.  A monthly reconciliation of interest income (part of the bank statement reconciliation) is done by a member of the Controller’s Office who does not have direct day-to-day cash management responsibilities.  The monthly reconciliation of all bank statements is verified by the Associate Controller or the Controller and by the University’s Internal </w:t>
      </w:r>
      <w:r w:rsidRPr="006640AA">
        <w:rPr>
          <w:rFonts w:asciiTheme="minorHAnsi" w:hAnsiTheme="minorHAnsi" w:cs="Calibri"/>
        </w:rPr>
        <w:lastRenderedPageBreak/>
        <w:t>Auditor on a periodic basis.  Investment policy and procedures are also reviewed by the Legislative Auditor as part of the University’s audit.</w:t>
      </w:r>
    </w:p>
    <w:p w14:paraId="75459467" w14:textId="77777777" w:rsidR="00723046" w:rsidRPr="006640AA" w:rsidRDefault="00723046" w:rsidP="00723046">
      <w:pPr>
        <w:rPr>
          <w:rFonts w:asciiTheme="minorHAnsi" w:hAnsiTheme="minorHAnsi" w:cs="Calibri"/>
          <w:u w:val="single"/>
        </w:rPr>
      </w:pPr>
    </w:p>
    <w:p w14:paraId="095B20D1" w14:textId="77777777" w:rsidR="005410B4" w:rsidRDefault="005410B4" w:rsidP="00723046">
      <w:pPr>
        <w:rPr>
          <w:rFonts w:asciiTheme="minorHAnsi" w:hAnsiTheme="minorHAnsi" w:cs="Calibri"/>
          <w:u w:val="single"/>
        </w:rPr>
      </w:pPr>
    </w:p>
    <w:p w14:paraId="0806ACE6" w14:textId="77777777" w:rsidR="005410B4" w:rsidRDefault="005410B4" w:rsidP="00723046">
      <w:pPr>
        <w:rPr>
          <w:rFonts w:asciiTheme="minorHAnsi" w:hAnsiTheme="minorHAnsi" w:cs="Calibri"/>
          <w:u w:val="single"/>
        </w:rPr>
      </w:pPr>
    </w:p>
    <w:p w14:paraId="0323A529" w14:textId="77777777" w:rsidR="005410B4" w:rsidRDefault="005410B4" w:rsidP="00723046">
      <w:pPr>
        <w:rPr>
          <w:rFonts w:asciiTheme="minorHAnsi" w:hAnsiTheme="minorHAnsi" w:cs="Calibri"/>
          <w:u w:val="single"/>
        </w:rPr>
      </w:pPr>
    </w:p>
    <w:p w14:paraId="0983D2D1" w14:textId="77777777" w:rsidR="00723046" w:rsidRPr="006640AA" w:rsidRDefault="00723046" w:rsidP="00723046">
      <w:pPr>
        <w:rPr>
          <w:rFonts w:asciiTheme="minorHAnsi" w:hAnsiTheme="minorHAnsi" w:cs="Calibri"/>
          <w:u w:val="single"/>
        </w:rPr>
      </w:pPr>
      <w:r w:rsidRPr="006640AA">
        <w:rPr>
          <w:rFonts w:asciiTheme="minorHAnsi" w:hAnsiTheme="minorHAnsi" w:cs="Calibri"/>
          <w:u w:val="single"/>
        </w:rPr>
        <w:t>Summary</w:t>
      </w:r>
    </w:p>
    <w:p w14:paraId="213B42E5" w14:textId="77777777" w:rsidR="00723046" w:rsidRPr="006640AA" w:rsidRDefault="00723046" w:rsidP="00723046">
      <w:pPr>
        <w:rPr>
          <w:rFonts w:asciiTheme="minorHAnsi" w:hAnsiTheme="minorHAnsi" w:cs="Calibri"/>
        </w:rPr>
      </w:pPr>
      <w:r w:rsidRPr="006640AA">
        <w:rPr>
          <w:rFonts w:asciiTheme="minorHAnsi" w:hAnsiTheme="minorHAnsi" w:cs="Calibri"/>
        </w:rPr>
        <w:t xml:space="preserve">Investment decisions and information are coordinated and communicated with the President </w:t>
      </w:r>
      <w:r w:rsidRPr="005410B4">
        <w:rPr>
          <w:rFonts w:asciiTheme="minorHAnsi" w:hAnsiTheme="minorHAnsi" w:cs="Calibri"/>
        </w:rPr>
        <w:t>and</w:t>
      </w:r>
      <w:r w:rsidRPr="005410B4">
        <w:rPr>
          <w:rFonts w:asciiTheme="minorHAnsi" w:hAnsiTheme="minorHAnsi" w:cs="Calibri"/>
          <w:color w:val="FF0000"/>
        </w:rPr>
        <w:t xml:space="preserve"> </w:t>
      </w:r>
      <w:r w:rsidRPr="005410B4">
        <w:rPr>
          <w:rFonts w:asciiTheme="minorHAnsi" w:hAnsiTheme="minorHAnsi" w:cs="Calibri"/>
        </w:rPr>
        <w:t>Vice President for Business Affairs and are periodically evaluated based on the University’s investment</w:t>
      </w:r>
      <w:r w:rsidRPr="006640AA">
        <w:rPr>
          <w:rFonts w:asciiTheme="minorHAnsi" w:hAnsiTheme="minorHAnsi" w:cs="Calibri"/>
        </w:rPr>
        <w:t xml:space="preserve"> objectives. The Controller will endeavor to make available appropriate professional training to University personnel in the performance of their cash management duties and responsibilities.</w:t>
      </w:r>
    </w:p>
    <w:p w14:paraId="798200AD" w14:textId="77777777" w:rsidR="00723046" w:rsidRPr="006640AA" w:rsidRDefault="00723046" w:rsidP="00723046">
      <w:pPr>
        <w:rPr>
          <w:rFonts w:asciiTheme="minorHAnsi" w:hAnsiTheme="minorHAnsi" w:cs="Calibri"/>
        </w:rPr>
      </w:pPr>
    </w:p>
    <w:p w14:paraId="0B60F855" w14:textId="77777777" w:rsidR="00723046" w:rsidRPr="006640AA" w:rsidRDefault="00723046" w:rsidP="00723046">
      <w:pPr>
        <w:rPr>
          <w:rFonts w:asciiTheme="minorHAnsi" w:hAnsiTheme="minorHAnsi" w:cs="Calibri"/>
        </w:rPr>
      </w:pPr>
      <w:r w:rsidRPr="006640AA">
        <w:rPr>
          <w:rFonts w:asciiTheme="minorHAnsi" w:hAnsiTheme="minorHAnsi" w:cs="Calibri"/>
        </w:rPr>
        <w:t>Cash management at University of Louisiana at Monroe will continue to develop with new methods and procedures adopted to meet changes in the banking system and to address University needs and objectives.</w:t>
      </w:r>
    </w:p>
    <w:p w14:paraId="222379F8" w14:textId="77777777" w:rsidR="00723046" w:rsidRPr="006640AA" w:rsidRDefault="00723046" w:rsidP="00723046">
      <w:pPr>
        <w:jc w:val="center"/>
        <w:rPr>
          <w:rFonts w:asciiTheme="minorHAnsi" w:hAnsiTheme="minorHAnsi"/>
          <w:b/>
        </w:rPr>
      </w:pPr>
    </w:p>
    <w:p w14:paraId="460AF590" w14:textId="77777777" w:rsidR="00723046" w:rsidRPr="006640AA" w:rsidRDefault="00723046" w:rsidP="00723046">
      <w:pPr>
        <w:jc w:val="center"/>
        <w:rPr>
          <w:rFonts w:asciiTheme="minorHAnsi" w:hAnsiTheme="minorHAnsi" w:cs="Calibri"/>
          <w:b/>
        </w:rPr>
      </w:pPr>
      <w:r w:rsidRPr="006640AA">
        <w:rPr>
          <w:rFonts w:asciiTheme="minorHAnsi" w:hAnsiTheme="minorHAnsi" w:cs="Calibri"/>
          <w:b/>
        </w:rPr>
        <w:t>CASH MANAGEMENT PROCEDURES</w:t>
      </w:r>
    </w:p>
    <w:p w14:paraId="2D7B6051" w14:textId="77777777" w:rsidR="00723046" w:rsidRPr="006640AA" w:rsidRDefault="00723046" w:rsidP="00723046">
      <w:pPr>
        <w:jc w:val="center"/>
        <w:rPr>
          <w:rFonts w:asciiTheme="minorHAnsi" w:hAnsiTheme="minorHAnsi" w:cs="Calibri"/>
          <w:b/>
        </w:rPr>
      </w:pPr>
      <w:r w:rsidRPr="006640AA">
        <w:rPr>
          <w:rFonts w:asciiTheme="minorHAnsi" w:hAnsiTheme="minorHAnsi" w:cs="Calibri"/>
          <w:b/>
        </w:rPr>
        <w:t xml:space="preserve"> </w:t>
      </w:r>
    </w:p>
    <w:p w14:paraId="712AD672" w14:textId="77777777" w:rsidR="00723046" w:rsidRPr="006640AA" w:rsidRDefault="00723046" w:rsidP="00723046">
      <w:pPr>
        <w:jc w:val="center"/>
        <w:rPr>
          <w:rFonts w:asciiTheme="minorHAnsi" w:hAnsiTheme="minorHAnsi" w:cs="Calibri"/>
          <w:b/>
        </w:rPr>
      </w:pPr>
      <w:r w:rsidRPr="006640AA">
        <w:rPr>
          <w:rFonts w:asciiTheme="minorHAnsi" w:hAnsiTheme="minorHAnsi" w:cs="Calibri"/>
          <w:b/>
        </w:rPr>
        <w:t xml:space="preserve">University of Louisiana Monroe </w:t>
      </w:r>
    </w:p>
    <w:p w14:paraId="1371B726" w14:textId="77777777" w:rsidR="00723046" w:rsidRPr="00122342" w:rsidRDefault="00723046" w:rsidP="00723046">
      <w:pPr>
        <w:rPr>
          <w:rFonts w:asciiTheme="minorHAnsi" w:hAnsiTheme="minorHAnsi" w:cs="Calibri"/>
        </w:rPr>
      </w:pPr>
    </w:p>
    <w:p w14:paraId="0C8BD74B" w14:textId="77777777" w:rsidR="00723046" w:rsidRPr="00122342" w:rsidRDefault="000117EF" w:rsidP="00122342">
      <w:pPr>
        <w:pStyle w:val="ListParagraph"/>
        <w:numPr>
          <w:ilvl w:val="0"/>
          <w:numId w:val="33"/>
        </w:numPr>
        <w:spacing w:after="120"/>
        <w:ind w:left="360"/>
        <w:rPr>
          <w:rFonts w:asciiTheme="minorHAnsi" w:hAnsiTheme="minorHAnsi" w:cs="Calibri"/>
          <w:sz w:val="24"/>
          <w:szCs w:val="24"/>
        </w:rPr>
      </w:pPr>
      <w:r w:rsidRPr="00122342">
        <w:rPr>
          <w:rFonts w:asciiTheme="minorHAnsi" w:hAnsiTheme="minorHAnsi" w:cs="Calibri"/>
          <w:sz w:val="24"/>
          <w:szCs w:val="24"/>
        </w:rPr>
        <w:t xml:space="preserve"> </w:t>
      </w:r>
      <w:r w:rsidR="00723046" w:rsidRPr="00122342">
        <w:rPr>
          <w:rFonts w:asciiTheme="minorHAnsi" w:hAnsiTheme="minorHAnsi" w:cs="Calibri"/>
          <w:sz w:val="24"/>
          <w:szCs w:val="24"/>
          <w:u w:val="single"/>
        </w:rPr>
        <w:t>Deposits</w:t>
      </w:r>
    </w:p>
    <w:p w14:paraId="6BCF0B58" w14:textId="77777777" w:rsidR="00723046" w:rsidRPr="00122342" w:rsidRDefault="00723046" w:rsidP="00912B84">
      <w:pPr>
        <w:ind w:left="360"/>
        <w:rPr>
          <w:rFonts w:asciiTheme="minorHAnsi" w:hAnsiTheme="minorHAnsi" w:cs="Calibri"/>
        </w:rPr>
      </w:pPr>
      <w:r w:rsidRPr="00122342">
        <w:rPr>
          <w:rFonts w:asciiTheme="minorHAnsi" w:hAnsiTheme="minorHAnsi" w:cs="Calibri"/>
        </w:rPr>
        <w:t>University of Louisiana Monroe makes a daily deposit of cash and checks received.  Deposit information and bank funds collection information is communicated for investment analysis.</w:t>
      </w:r>
    </w:p>
    <w:p w14:paraId="00F32A88" w14:textId="77777777" w:rsidR="00723046" w:rsidRPr="00122342" w:rsidRDefault="00723046" w:rsidP="00723046">
      <w:pPr>
        <w:rPr>
          <w:rFonts w:asciiTheme="minorHAnsi" w:hAnsiTheme="minorHAnsi" w:cs="Calibri"/>
        </w:rPr>
      </w:pPr>
    </w:p>
    <w:p w14:paraId="0BB344C1" w14:textId="77777777" w:rsidR="00723046" w:rsidRPr="00122342" w:rsidRDefault="00723046" w:rsidP="00FD7246">
      <w:pPr>
        <w:pStyle w:val="ListParagraph"/>
        <w:numPr>
          <w:ilvl w:val="1"/>
          <w:numId w:val="30"/>
        </w:numPr>
        <w:spacing w:after="0"/>
        <w:ind w:left="720"/>
        <w:rPr>
          <w:rFonts w:asciiTheme="minorHAnsi" w:hAnsiTheme="minorHAnsi" w:cs="Calibri"/>
          <w:sz w:val="24"/>
          <w:szCs w:val="24"/>
        </w:rPr>
      </w:pPr>
      <w:r w:rsidRPr="00122342">
        <w:rPr>
          <w:rFonts w:asciiTheme="minorHAnsi" w:hAnsiTheme="minorHAnsi" w:cs="Calibri"/>
          <w:sz w:val="24"/>
          <w:szCs w:val="24"/>
          <w:u w:val="single"/>
        </w:rPr>
        <w:t>Mail Receipts</w:t>
      </w:r>
    </w:p>
    <w:p w14:paraId="77614D12" w14:textId="77777777" w:rsidR="00723046" w:rsidRPr="00122342" w:rsidRDefault="00723046" w:rsidP="000117EF">
      <w:pPr>
        <w:ind w:left="720"/>
        <w:rPr>
          <w:rFonts w:asciiTheme="minorHAnsi" w:hAnsiTheme="minorHAnsi" w:cs="Calibri"/>
        </w:rPr>
      </w:pPr>
      <w:r w:rsidRPr="00122342">
        <w:rPr>
          <w:rFonts w:asciiTheme="minorHAnsi" w:hAnsiTheme="minorHAnsi" w:cs="Calibri"/>
        </w:rPr>
        <w:t xml:space="preserve">Incoming mail is delivered or picked up twice each day from the Post Office.  Mail is sorted to remove all checks first; checks are logged and routed to appropriate area (General Accounting, Grants, </w:t>
      </w:r>
      <w:r w:rsidR="0005569E" w:rsidRPr="00122342">
        <w:rPr>
          <w:rFonts w:asciiTheme="minorHAnsi" w:hAnsiTheme="minorHAnsi" w:cs="Calibri"/>
        </w:rPr>
        <w:t>and Student</w:t>
      </w:r>
      <w:r w:rsidRPr="00122342">
        <w:rPr>
          <w:rFonts w:asciiTheme="minorHAnsi" w:hAnsiTheme="minorHAnsi" w:cs="Calibri"/>
        </w:rPr>
        <w:t xml:space="preserve"> Account Services etc.) for photocopying, endorsement, processing, and subsequent daily deposit</w:t>
      </w:r>
      <w:r w:rsidRPr="00122342">
        <w:rPr>
          <w:rFonts w:asciiTheme="minorHAnsi" w:hAnsiTheme="minorHAnsi" w:cs="Calibri"/>
          <w:color w:val="FF0000"/>
        </w:rPr>
        <w:t xml:space="preserve"> </w:t>
      </w:r>
      <w:r w:rsidRPr="00122342">
        <w:rPr>
          <w:rFonts w:asciiTheme="minorHAnsi" w:hAnsiTheme="minorHAnsi" w:cs="Calibri"/>
        </w:rPr>
        <w:t>at La Capitol Federal Credit Union outlined in the University’s Cash Handling Procedures.</w:t>
      </w:r>
    </w:p>
    <w:p w14:paraId="6AD69047" w14:textId="77777777" w:rsidR="00723046" w:rsidRPr="00122342" w:rsidRDefault="000117EF" w:rsidP="000117EF">
      <w:pPr>
        <w:tabs>
          <w:tab w:val="left" w:pos="2490"/>
        </w:tabs>
        <w:rPr>
          <w:rFonts w:asciiTheme="minorHAnsi" w:hAnsiTheme="minorHAnsi" w:cs="Calibri"/>
        </w:rPr>
      </w:pPr>
      <w:r w:rsidRPr="00122342">
        <w:rPr>
          <w:rFonts w:asciiTheme="minorHAnsi" w:hAnsiTheme="minorHAnsi" w:cs="Calibri"/>
        </w:rPr>
        <w:tab/>
      </w:r>
    </w:p>
    <w:p w14:paraId="4469E935" w14:textId="77777777" w:rsidR="00723046" w:rsidRPr="00122342" w:rsidRDefault="00723046" w:rsidP="008C6D0A">
      <w:pPr>
        <w:pStyle w:val="ListParagraph"/>
        <w:numPr>
          <w:ilvl w:val="1"/>
          <w:numId w:val="30"/>
        </w:numPr>
        <w:spacing w:after="0"/>
        <w:ind w:left="720"/>
        <w:rPr>
          <w:rFonts w:asciiTheme="minorHAnsi" w:hAnsiTheme="minorHAnsi" w:cs="Calibri"/>
          <w:sz w:val="24"/>
          <w:szCs w:val="24"/>
        </w:rPr>
      </w:pPr>
      <w:r w:rsidRPr="00122342">
        <w:rPr>
          <w:rFonts w:asciiTheme="minorHAnsi" w:hAnsiTheme="minorHAnsi" w:cs="Calibri"/>
          <w:sz w:val="24"/>
          <w:szCs w:val="24"/>
          <w:u w:val="single"/>
        </w:rPr>
        <w:t>Campus Receipts</w:t>
      </w:r>
    </w:p>
    <w:p w14:paraId="2E246202" w14:textId="77777777" w:rsidR="00723046" w:rsidRPr="00122342" w:rsidRDefault="00723046" w:rsidP="00202E15">
      <w:pPr>
        <w:ind w:left="720"/>
        <w:rPr>
          <w:rFonts w:asciiTheme="minorHAnsi" w:hAnsiTheme="minorHAnsi" w:cs="Calibri"/>
        </w:rPr>
      </w:pPr>
      <w:r w:rsidRPr="00122342">
        <w:rPr>
          <w:rFonts w:asciiTheme="minorHAnsi" w:hAnsiTheme="minorHAnsi" w:cs="Calibri"/>
        </w:rPr>
        <w:t>Departments send their deposits daily or as received to La Capitol F</w:t>
      </w:r>
      <w:r w:rsidR="008C6D0A" w:rsidRPr="00122342">
        <w:rPr>
          <w:rFonts w:asciiTheme="minorHAnsi" w:hAnsiTheme="minorHAnsi" w:cs="Calibri"/>
        </w:rPr>
        <w:t>ederal Credit Union (</w:t>
      </w:r>
      <w:proofErr w:type="spellStart"/>
      <w:r w:rsidR="008C6D0A" w:rsidRPr="00122342">
        <w:rPr>
          <w:rFonts w:asciiTheme="minorHAnsi" w:hAnsiTheme="minorHAnsi" w:cs="Calibri"/>
        </w:rPr>
        <w:t>LaCap</w:t>
      </w:r>
      <w:proofErr w:type="spellEnd"/>
      <w:r w:rsidR="008C6D0A" w:rsidRPr="00122342">
        <w:rPr>
          <w:rFonts w:asciiTheme="minorHAnsi" w:hAnsiTheme="minorHAnsi" w:cs="Calibri"/>
        </w:rPr>
        <w:t xml:space="preserve">). </w:t>
      </w:r>
      <w:r w:rsidRPr="00122342">
        <w:rPr>
          <w:rFonts w:asciiTheme="minorHAnsi" w:hAnsiTheme="minorHAnsi" w:cs="Calibri"/>
        </w:rPr>
        <w:t xml:space="preserve">Checks are imaged and restrictively endorsed and then processed for subsequent daily deposit.          </w:t>
      </w:r>
    </w:p>
    <w:p w14:paraId="44D0B2B4" w14:textId="77777777" w:rsidR="00723046" w:rsidRPr="00122342" w:rsidRDefault="00723046" w:rsidP="00723046">
      <w:pPr>
        <w:rPr>
          <w:rFonts w:asciiTheme="minorHAnsi" w:hAnsiTheme="minorHAnsi" w:cs="Calibri"/>
        </w:rPr>
      </w:pPr>
    </w:p>
    <w:p w14:paraId="15648447" w14:textId="77777777" w:rsidR="00723046" w:rsidRPr="00122342" w:rsidRDefault="00202E15" w:rsidP="00202E15">
      <w:pPr>
        <w:numPr>
          <w:ilvl w:val="0"/>
          <w:numId w:val="40"/>
        </w:numPr>
        <w:ind w:firstLine="360"/>
        <w:rPr>
          <w:rFonts w:asciiTheme="minorHAnsi" w:hAnsiTheme="minorHAnsi" w:cs="Calibri"/>
        </w:rPr>
      </w:pPr>
      <w:r w:rsidRPr="00122342">
        <w:rPr>
          <w:rFonts w:asciiTheme="minorHAnsi" w:hAnsiTheme="minorHAnsi" w:cs="Calibri"/>
        </w:rPr>
        <w:tab/>
      </w:r>
      <w:r w:rsidR="00723046" w:rsidRPr="00122342">
        <w:rPr>
          <w:rFonts w:asciiTheme="minorHAnsi" w:hAnsiTheme="minorHAnsi" w:cs="Calibri"/>
          <w:u w:val="single"/>
        </w:rPr>
        <w:t>Federal Funds and State Grant Funds</w:t>
      </w:r>
    </w:p>
    <w:p w14:paraId="4C3345F3" w14:textId="77777777" w:rsidR="00723046" w:rsidRPr="00122342" w:rsidRDefault="00723046" w:rsidP="00202E15">
      <w:pPr>
        <w:ind w:left="720"/>
        <w:rPr>
          <w:rFonts w:asciiTheme="minorHAnsi" w:hAnsiTheme="minorHAnsi" w:cs="Calibri"/>
        </w:rPr>
      </w:pPr>
      <w:r w:rsidRPr="00122342">
        <w:rPr>
          <w:rFonts w:asciiTheme="minorHAnsi" w:hAnsiTheme="minorHAnsi" w:cs="Calibri"/>
        </w:rPr>
        <w:t>For the major federally funded programs, and state funded programs, funds are electronically requested and received by ACH/Electronic Funds Transfer.  This is an efficient system in obtaining prompt collection of funds needed and due the University for funding of federal and state programs.</w:t>
      </w:r>
    </w:p>
    <w:p w14:paraId="660F50EB" w14:textId="77777777" w:rsidR="00723046" w:rsidRPr="00122342" w:rsidRDefault="00723046" w:rsidP="00723046">
      <w:pPr>
        <w:rPr>
          <w:rFonts w:asciiTheme="minorHAnsi" w:hAnsiTheme="minorHAnsi" w:cs="Calibri"/>
        </w:rPr>
      </w:pPr>
    </w:p>
    <w:p w14:paraId="74A038CF" w14:textId="77777777" w:rsidR="00723046" w:rsidRPr="00122342" w:rsidRDefault="00723046" w:rsidP="00122342">
      <w:pPr>
        <w:pStyle w:val="ListParagraph"/>
        <w:numPr>
          <w:ilvl w:val="0"/>
          <w:numId w:val="30"/>
        </w:numPr>
        <w:spacing w:after="120"/>
        <w:ind w:left="360"/>
        <w:rPr>
          <w:rFonts w:asciiTheme="minorHAnsi" w:hAnsiTheme="minorHAnsi" w:cs="Calibri"/>
          <w:sz w:val="24"/>
          <w:szCs w:val="24"/>
        </w:rPr>
      </w:pPr>
      <w:r w:rsidRPr="00122342">
        <w:rPr>
          <w:rFonts w:asciiTheme="minorHAnsi" w:hAnsiTheme="minorHAnsi" w:cs="Calibri"/>
          <w:sz w:val="24"/>
          <w:szCs w:val="24"/>
          <w:u w:val="single"/>
        </w:rPr>
        <w:t>Billing and Collection</w:t>
      </w:r>
    </w:p>
    <w:p w14:paraId="41B05D8D" w14:textId="77777777" w:rsidR="00723046" w:rsidRDefault="00723046" w:rsidP="00034FF1">
      <w:pPr>
        <w:ind w:left="360"/>
        <w:rPr>
          <w:rFonts w:asciiTheme="minorHAnsi" w:hAnsiTheme="minorHAnsi" w:cs="Calibri"/>
        </w:rPr>
      </w:pPr>
      <w:r w:rsidRPr="00122342">
        <w:rPr>
          <w:rFonts w:asciiTheme="minorHAnsi" w:hAnsiTheme="minorHAnsi" w:cs="Calibri"/>
        </w:rPr>
        <w:t>University of Louisiana at Monroe collects the major portion of self-generated revenue from student fees during each payment period, which are two semesters and two short summer sessions.  Student fees are assessed, collected, and deposited each day.  Other receivables due the University are billed when due or as soon as practical.</w:t>
      </w:r>
    </w:p>
    <w:p w14:paraId="2601C9E8" w14:textId="77777777" w:rsidR="00912B84" w:rsidRDefault="00912B84" w:rsidP="00034FF1">
      <w:pPr>
        <w:ind w:left="360"/>
        <w:rPr>
          <w:rFonts w:asciiTheme="minorHAnsi" w:hAnsiTheme="minorHAnsi" w:cs="Calibri"/>
        </w:rPr>
      </w:pPr>
    </w:p>
    <w:p w14:paraId="2DABA166" w14:textId="77777777" w:rsidR="00723046" w:rsidRPr="006D64D8" w:rsidRDefault="00723046" w:rsidP="00912B84">
      <w:pPr>
        <w:pStyle w:val="ListParagraph"/>
        <w:numPr>
          <w:ilvl w:val="1"/>
          <w:numId w:val="30"/>
        </w:numPr>
        <w:spacing w:after="0"/>
        <w:ind w:left="720"/>
        <w:rPr>
          <w:rFonts w:asciiTheme="minorHAnsi" w:hAnsiTheme="minorHAnsi" w:cs="Calibri"/>
          <w:u w:val="single"/>
        </w:rPr>
      </w:pPr>
      <w:r w:rsidRPr="006D64D8">
        <w:rPr>
          <w:rFonts w:asciiTheme="minorHAnsi" w:hAnsiTheme="minorHAnsi" w:cs="Calibri"/>
          <w:u w:val="single"/>
        </w:rPr>
        <w:lastRenderedPageBreak/>
        <w:t>Collection of Receivables</w:t>
      </w:r>
    </w:p>
    <w:p w14:paraId="2C5B90E9" w14:textId="77777777" w:rsidR="00723046" w:rsidRPr="00122342" w:rsidRDefault="00723046" w:rsidP="001D0D21">
      <w:pPr>
        <w:ind w:left="720"/>
        <w:rPr>
          <w:rFonts w:asciiTheme="minorHAnsi" w:hAnsiTheme="minorHAnsi" w:cs="Calibri"/>
        </w:rPr>
      </w:pPr>
      <w:r w:rsidRPr="00122342">
        <w:rPr>
          <w:rFonts w:asciiTheme="minorHAnsi" w:hAnsiTheme="minorHAnsi" w:cs="Calibri"/>
        </w:rPr>
        <w:t>Most all monies due University of Louisiana at Monroe are collected when due or within 30 days or less of billing period.  For accounts not collected within 30 days, the following procedures are used:</w:t>
      </w:r>
    </w:p>
    <w:p w14:paraId="4FD2FFBA" w14:textId="77777777" w:rsidR="00723046" w:rsidRPr="00EC14BC" w:rsidRDefault="00723046" w:rsidP="00EC14BC">
      <w:pPr>
        <w:pStyle w:val="ListParagraph"/>
        <w:numPr>
          <w:ilvl w:val="2"/>
          <w:numId w:val="30"/>
        </w:numPr>
        <w:rPr>
          <w:rFonts w:asciiTheme="minorHAnsi" w:hAnsiTheme="minorHAnsi" w:cs="Calibri"/>
        </w:rPr>
      </w:pPr>
      <w:r w:rsidRPr="00EC14BC">
        <w:rPr>
          <w:rFonts w:asciiTheme="minorHAnsi" w:hAnsiTheme="minorHAnsi" w:cs="Calibri"/>
        </w:rPr>
        <w:t>A bill is emailed to all students who still owe a balance after the semester begins.</w:t>
      </w:r>
    </w:p>
    <w:p w14:paraId="6CA96E8A" w14:textId="77777777" w:rsidR="00EC14BC" w:rsidRPr="00EC14BC" w:rsidRDefault="00EC14BC" w:rsidP="00EC14BC">
      <w:pPr>
        <w:pStyle w:val="ListParagraph"/>
        <w:ind w:left="2340"/>
        <w:rPr>
          <w:rFonts w:asciiTheme="minorHAnsi" w:hAnsiTheme="minorHAnsi" w:cs="Calibri"/>
        </w:rPr>
      </w:pPr>
    </w:p>
    <w:p w14:paraId="3B029A85" w14:textId="77777777" w:rsidR="00723046" w:rsidRDefault="00723046" w:rsidP="001D0D21">
      <w:pPr>
        <w:numPr>
          <w:ilvl w:val="0"/>
          <w:numId w:val="41"/>
        </w:numPr>
        <w:ind w:left="1440" w:hanging="360"/>
        <w:rPr>
          <w:rFonts w:asciiTheme="minorHAnsi" w:hAnsiTheme="minorHAnsi" w:cs="Calibri"/>
        </w:rPr>
      </w:pPr>
      <w:r w:rsidRPr="00122342">
        <w:rPr>
          <w:rFonts w:asciiTheme="minorHAnsi" w:hAnsiTheme="minorHAnsi" w:cs="Calibri"/>
        </w:rPr>
        <w:tab/>
        <w:t xml:space="preserve">If no response from second notice, a telephone follow-up is initiated.  </w:t>
      </w:r>
    </w:p>
    <w:p w14:paraId="6DEEB9DA" w14:textId="77777777" w:rsidR="00EC14BC" w:rsidRPr="00122342" w:rsidRDefault="00EC14BC" w:rsidP="001D0D21">
      <w:pPr>
        <w:ind w:left="1440" w:hanging="360"/>
        <w:rPr>
          <w:rFonts w:asciiTheme="minorHAnsi" w:hAnsiTheme="minorHAnsi" w:cs="Calibri"/>
          <w:strike/>
          <w:color w:val="FF0000"/>
        </w:rPr>
      </w:pPr>
    </w:p>
    <w:p w14:paraId="7A5CE2B8" w14:textId="77777777" w:rsidR="00723046" w:rsidRPr="00122342" w:rsidRDefault="00723046" w:rsidP="001D0D21">
      <w:pPr>
        <w:numPr>
          <w:ilvl w:val="0"/>
          <w:numId w:val="41"/>
        </w:numPr>
        <w:ind w:left="1440" w:hanging="360"/>
        <w:rPr>
          <w:rFonts w:asciiTheme="minorHAnsi" w:hAnsiTheme="minorHAnsi" w:cs="Calibri"/>
        </w:rPr>
      </w:pPr>
      <w:r w:rsidRPr="00122342">
        <w:rPr>
          <w:rFonts w:asciiTheme="minorHAnsi" w:hAnsiTheme="minorHAnsi" w:cs="Calibri"/>
        </w:rPr>
        <w:tab/>
        <w:t xml:space="preserve">For student indebtedness (usually returned checks, unpaid fee charges, mandated return of Federal Financial Aid Funds and NDSL loans) not satisfactorily cleared, the student’s registration at the University may be canceled.  Academic transcripts are “held” until all indebtedness to the University has been cleared.  See Accounts Receivable Policy for more detailed information.                                 </w:t>
      </w:r>
    </w:p>
    <w:p w14:paraId="587296DE" w14:textId="77777777" w:rsidR="00723046" w:rsidRPr="00122342" w:rsidRDefault="00723046" w:rsidP="00723046">
      <w:pPr>
        <w:rPr>
          <w:rFonts w:asciiTheme="minorHAnsi" w:hAnsiTheme="minorHAnsi" w:cs="Calibri"/>
        </w:rPr>
      </w:pPr>
    </w:p>
    <w:p w14:paraId="3F129D63" w14:textId="77777777" w:rsidR="00723046" w:rsidRPr="00122342" w:rsidRDefault="00723046" w:rsidP="001D0D21">
      <w:pPr>
        <w:numPr>
          <w:ilvl w:val="0"/>
          <w:numId w:val="41"/>
        </w:numPr>
        <w:ind w:left="1440" w:hanging="360"/>
        <w:rPr>
          <w:rFonts w:asciiTheme="minorHAnsi" w:hAnsiTheme="minorHAnsi" w:cs="Calibri"/>
        </w:rPr>
      </w:pPr>
      <w:r w:rsidRPr="00122342">
        <w:rPr>
          <w:rFonts w:asciiTheme="minorHAnsi" w:hAnsiTheme="minorHAnsi" w:cs="Calibri"/>
        </w:rPr>
        <w:tab/>
        <w:t>Before registration for the next semester/session, a computer program is run to identify any student who has a balance due. A “hold” is put on the student’s account so they cannot register.  They must pay their debt or set up a satisfactory payment arrangement in order for the “hold” to be removed.</w:t>
      </w:r>
    </w:p>
    <w:p w14:paraId="482CB788" w14:textId="77777777" w:rsidR="00723046" w:rsidRPr="00122342" w:rsidRDefault="00723046" w:rsidP="00723046">
      <w:pPr>
        <w:ind w:left="2160" w:hanging="720"/>
        <w:rPr>
          <w:rFonts w:asciiTheme="minorHAnsi" w:hAnsiTheme="minorHAnsi" w:cs="Calibri"/>
        </w:rPr>
      </w:pPr>
    </w:p>
    <w:p w14:paraId="7689AAB4" w14:textId="77777777" w:rsidR="00723046" w:rsidRPr="00122342" w:rsidRDefault="00723046" w:rsidP="001D0D21">
      <w:pPr>
        <w:numPr>
          <w:ilvl w:val="0"/>
          <w:numId w:val="41"/>
        </w:numPr>
        <w:ind w:left="1440" w:hanging="360"/>
        <w:rPr>
          <w:rFonts w:asciiTheme="minorHAnsi" w:hAnsiTheme="minorHAnsi" w:cs="Calibri"/>
        </w:rPr>
      </w:pPr>
      <w:r w:rsidRPr="00122342">
        <w:rPr>
          <w:rFonts w:asciiTheme="minorHAnsi" w:hAnsiTheme="minorHAnsi" w:cs="Calibri"/>
        </w:rPr>
        <w:tab/>
        <w:t xml:space="preserve">A student with a debt cannot return, a registration/transcript hold is put on their account and they are transferred to the Collections Department and loaded into the ECSI system for further collections. The only exception is an account with a balance of twenty-five dollars or less per student fund. </w:t>
      </w:r>
      <w:r w:rsidR="0005569E" w:rsidRPr="00122342">
        <w:rPr>
          <w:rFonts w:asciiTheme="minorHAnsi" w:hAnsiTheme="minorHAnsi" w:cs="Calibri"/>
        </w:rPr>
        <w:t>i.e.</w:t>
      </w:r>
      <w:r w:rsidRPr="00122342">
        <w:rPr>
          <w:rFonts w:asciiTheme="minorHAnsi" w:hAnsiTheme="minorHAnsi" w:cs="Calibri"/>
        </w:rPr>
        <w:t xml:space="preserve">… tuition, meals, dorms, and tickets because they will automatically be written off by ECSI. Two letters are sent and then the account is turned over to the Attorney General’s Office if no response from the student and no payment arrangement has been initiated. The University uses the Attorney General’s Office collection services with all collection costs including legal fees are charged to the student.  All debtors submitted to the Attorney General’s Office submit payments to the Attorney General’s Office directly and a check is remitted to the University monthly with a detailed report on payment activity. Also, payments from the debtor not at the Attorney General’s Office can be made in person by mail or over the phone. Debtors paying in person are directed to make their payment at La Capitol Bank. Receipts are sent to our office and posted immediately. </w:t>
      </w:r>
    </w:p>
    <w:p w14:paraId="1A66B47A" w14:textId="77777777" w:rsidR="00723046" w:rsidRPr="00122342" w:rsidRDefault="00723046" w:rsidP="00723046">
      <w:pPr>
        <w:rPr>
          <w:rFonts w:asciiTheme="minorHAnsi" w:hAnsiTheme="minorHAnsi" w:cs="Calibri"/>
        </w:rPr>
      </w:pPr>
    </w:p>
    <w:p w14:paraId="7126742D" w14:textId="77777777" w:rsidR="00723046" w:rsidRPr="00122342" w:rsidRDefault="00723046" w:rsidP="001D0D21">
      <w:pPr>
        <w:numPr>
          <w:ilvl w:val="0"/>
          <w:numId w:val="41"/>
        </w:numPr>
        <w:ind w:left="1440" w:hanging="360"/>
        <w:rPr>
          <w:rFonts w:asciiTheme="minorHAnsi" w:hAnsiTheme="minorHAnsi" w:cs="Calibri"/>
        </w:rPr>
      </w:pPr>
      <w:r w:rsidRPr="00122342">
        <w:rPr>
          <w:rFonts w:asciiTheme="minorHAnsi" w:hAnsiTheme="minorHAnsi" w:cs="Calibri"/>
        </w:rPr>
        <w:tab/>
        <w:t>After due process and local collection efforts have been exhausted, past due indebtedness for Perkins (NDSL) loans are turned over to an outside collection service specializing in student loan collections.  Three separate collection services are used (Coast Professional, Louisiana State Attorney General’s Office and Conserve) for handling secondary collection efforts for the University.  Loan accounts deemed non-collectible are assigned under the federal regulations to the U.S. Department of Education and removed as active accounts with the University.</w:t>
      </w:r>
    </w:p>
    <w:p w14:paraId="6B43C39A" w14:textId="77777777" w:rsidR="00912B84" w:rsidRPr="00122342" w:rsidRDefault="00912B84" w:rsidP="00723046">
      <w:pPr>
        <w:rPr>
          <w:rFonts w:asciiTheme="minorHAnsi" w:hAnsiTheme="minorHAnsi" w:cs="Calibri"/>
        </w:rPr>
      </w:pPr>
    </w:p>
    <w:p w14:paraId="21B3E275" w14:textId="77777777" w:rsidR="00723046" w:rsidRPr="00A27FF6" w:rsidRDefault="00723046" w:rsidP="00DA1521">
      <w:pPr>
        <w:pStyle w:val="ListParagraph"/>
        <w:numPr>
          <w:ilvl w:val="0"/>
          <w:numId w:val="30"/>
        </w:numPr>
        <w:spacing w:after="120"/>
        <w:ind w:left="360"/>
        <w:rPr>
          <w:rFonts w:asciiTheme="minorHAnsi" w:hAnsiTheme="minorHAnsi" w:cs="Calibri"/>
          <w:u w:val="single"/>
        </w:rPr>
      </w:pPr>
      <w:r w:rsidRPr="00A27FF6">
        <w:rPr>
          <w:rFonts w:asciiTheme="minorHAnsi" w:hAnsiTheme="minorHAnsi" w:cs="Calibri"/>
          <w:u w:val="single"/>
        </w:rPr>
        <w:t>Disbursements</w:t>
      </w:r>
    </w:p>
    <w:p w14:paraId="0D03718F" w14:textId="77777777" w:rsidR="00723046" w:rsidRPr="00122342" w:rsidRDefault="00723046" w:rsidP="00723046">
      <w:pPr>
        <w:numPr>
          <w:ilvl w:val="0"/>
          <w:numId w:val="32"/>
        </w:numPr>
        <w:tabs>
          <w:tab w:val="left" w:pos="720"/>
        </w:tabs>
        <w:overflowPunct w:val="0"/>
        <w:autoSpaceDE w:val="0"/>
        <w:autoSpaceDN w:val="0"/>
        <w:adjustRightInd w:val="0"/>
        <w:textAlignment w:val="baseline"/>
        <w:rPr>
          <w:rFonts w:asciiTheme="minorHAnsi" w:hAnsiTheme="minorHAnsi" w:cs="Calibri"/>
        </w:rPr>
      </w:pPr>
      <w:r w:rsidRPr="00122342">
        <w:rPr>
          <w:rFonts w:asciiTheme="minorHAnsi" w:hAnsiTheme="minorHAnsi" w:cs="Calibri"/>
        </w:rPr>
        <w:t>Disbursements for large payments such as payrolls, tax deposits, bond payments, retirement and insurance payments, and other large payments are assigned to specific individuals within the Controller’s Office and noted where applicable on the office calendar.</w:t>
      </w:r>
    </w:p>
    <w:p w14:paraId="58282043" w14:textId="77777777" w:rsidR="00723046" w:rsidRPr="00122342" w:rsidRDefault="00723046" w:rsidP="00723046">
      <w:pPr>
        <w:numPr>
          <w:ilvl w:val="12"/>
          <w:numId w:val="0"/>
        </w:numPr>
        <w:rPr>
          <w:rFonts w:asciiTheme="minorHAnsi" w:hAnsiTheme="minorHAnsi" w:cs="Calibri"/>
        </w:rPr>
      </w:pPr>
    </w:p>
    <w:p w14:paraId="166A95B7" w14:textId="77777777" w:rsidR="00723046" w:rsidRPr="00122342" w:rsidRDefault="00723046" w:rsidP="00723046">
      <w:pPr>
        <w:numPr>
          <w:ilvl w:val="0"/>
          <w:numId w:val="32"/>
        </w:numPr>
        <w:tabs>
          <w:tab w:val="left" w:pos="720"/>
        </w:tabs>
        <w:overflowPunct w:val="0"/>
        <w:autoSpaceDE w:val="0"/>
        <w:autoSpaceDN w:val="0"/>
        <w:adjustRightInd w:val="0"/>
        <w:textAlignment w:val="baseline"/>
        <w:rPr>
          <w:rFonts w:asciiTheme="minorHAnsi" w:hAnsiTheme="minorHAnsi" w:cs="Calibri"/>
        </w:rPr>
      </w:pPr>
      <w:r w:rsidRPr="00122342">
        <w:rPr>
          <w:rFonts w:asciiTheme="minorHAnsi" w:hAnsiTheme="minorHAnsi" w:cs="Calibri"/>
        </w:rPr>
        <w:lastRenderedPageBreak/>
        <w:t>Disbursements for payrolls are processed by ACH transfer and check with distribution to     payees.</w:t>
      </w:r>
    </w:p>
    <w:p w14:paraId="11FE4C20" w14:textId="77777777" w:rsidR="00723046" w:rsidRPr="00122342" w:rsidRDefault="00723046" w:rsidP="00723046">
      <w:pPr>
        <w:numPr>
          <w:ilvl w:val="12"/>
          <w:numId w:val="0"/>
        </w:numPr>
        <w:rPr>
          <w:rFonts w:asciiTheme="minorHAnsi" w:hAnsiTheme="minorHAnsi" w:cs="Calibri"/>
        </w:rPr>
      </w:pPr>
    </w:p>
    <w:p w14:paraId="63BB1568" w14:textId="77777777" w:rsidR="00723046" w:rsidRPr="00122342" w:rsidRDefault="00723046" w:rsidP="00723046">
      <w:pPr>
        <w:numPr>
          <w:ilvl w:val="0"/>
          <w:numId w:val="32"/>
        </w:numPr>
        <w:tabs>
          <w:tab w:val="left" w:pos="720"/>
        </w:tabs>
        <w:overflowPunct w:val="0"/>
        <w:autoSpaceDE w:val="0"/>
        <w:autoSpaceDN w:val="0"/>
        <w:adjustRightInd w:val="0"/>
        <w:textAlignment w:val="baseline"/>
        <w:rPr>
          <w:rFonts w:asciiTheme="minorHAnsi" w:hAnsiTheme="minorHAnsi" w:cs="Calibri"/>
        </w:rPr>
      </w:pPr>
      <w:r w:rsidRPr="00122342">
        <w:rPr>
          <w:rFonts w:asciiTheme="minorHAnsi" w:hAnsiTheme="minorHAnsi" w:cs="Calibri"/>
        </w:rPr>
        <w:t>Disbursements for student refunds and student payroll are made by ACH transfer and check.  Students may have their refund or payroll check directly deposited into their bank account.</w:t>
      </w:r>
    </w:p>
    <w:p w14:paraId="1B310FF3" w14:textId="77777777" w:rsidR="00723046" w:rsidRPr="00122342" w:rsidRDefault="00723046" w:rsidP="00723046">
      <w:pPr>
        <w:numPr>
          <w:ilvl w:val="0"/>
          <w:numId w:val="32"/>
        </w:numPr>
        <w:tabs>
          <w:tab w:val="left" w:pos="720"/>
        </w:tabs>
        <w:overflowPunct w:val="0"/>
        <w:autoSpaceDE w:val="0"/>
        <w:autoSpaceDN w:val="0"/>
        <w:adjustRightInd w:val="0"/>
        <w:textAlignment w:val="baseline"/>
        <w:rPr>
          <w:rFonts w:asciiTheme="minorHAnsi" w:hAnsiTheme="minorHAnsi" w:cs="Calibri"/>
        </w:rPr>
      </w:pPr>
      <w:r w:rsidRPr="00122342">
        <w:rPr>
          <w:rFonts w:asciiTheme="minorHAnsi" w:hAnsiTheme="minorHAnsi" w:cs="Calibri"/>
        </w:rPr>
        <w:t>Positive Pay is utilized for all Accounts Payable checks issued where the bank is notified of each check payee and amount as a security measure.</w:t>
      </w:r>
    </w:p>
    <w:p w14:paraId="443D9699" w14:textId="77777777" w:rsidR="00723046" w:rsidRPr="00122342" w:rsidRDefault="00723046" w:rsidP="00723046">
      <w:pPr>
        <w:numPr>
          <w:ilvl w:val="12"/>
          <w:numId w:val="0"/>
        </w:numPr>
        <w:rPr>
          <w:rFonts w:asciiTheme="minorHAnsi" w:hAnsiTheme="minorHAnsi" w:cs="Calibri"/>
        </w:rPr>
      </w:pPr>
    </w:p>
    <w:p w14:paraId="09C743B4" w14:textId="77777777" w:rsidR="00723046" w:rsidRPr="00122342" w:rsidRDefault="00723046" w:rsidP="00723046">
      <w:pPr>
        <w:numPr>
          <w:ilvl w:val="0"/>
          <w:numId w:val="32"/>
        </w:numPr>
        <w:tabs>
          <w:tab w:val="left" w:pos="720"/>
        </w:tabs>
        <w:overflowPunct w:val="0"/>
        <w:autoSpaceDE w:val="0"/>
        <w:autoSpaceDN w:val="0"/>
        <w:adjustRightInd w:val="0"/>
        <w:textAlignment w:val="baseline"/>
        <w:rPr>
          <w:rFonts w:asciiTheme="minorHAnsi" w:hAnsiTheme="minorHAnsi" w:cs="Calibri"/>
        </w:rPr>
      </w:pPr>
      <w:r w:rsidRPr="00122342">
        <w:rPr>
          <w:rFonts w:asciiTheme="minorHAnsi" w:hAnsiTheme="minorHAnsi" w:cs="Calibri"/>
        </w:rPr>
        <w:t>All check disbursements of $50,000 and greater require an individual review and additional signature (or initials) of the Controller prior to the check’s release as an added control and review step.  The Associate Controller can perform this function in the Controller’s absence.</w:t>
      </w:r>
    </w:p>
    <w:p w14:paraId="3C7CF4E2" w14:textId="77777777" w:rsidR="00723046" w:rsidRPr="00122342" w:rsidRDefault="00723046" w:rsidP="00723046">
      <w:pPr>
        <w:ind w:left="360"/>
        <w:rPr>
          <w:rFonts w:asciiTheme="minorHAnsi" w:hAnsiTheme="minorHAnsi"/>
        </w:rPr>
      </w:pPr>
    </w:p>
    <w:p w14:paraId="20CB4730" w14:textId="77777777" w:rsidR="009C60B1" w:rsidRPr="006640AA" w:rsidRDefault="009C60B1" w:rsidP="00DB4992">
      <w:pPr>
        <w:pStyle w:val="Heading3"/>
        <w:numPr>
          <w:ilvl w:val="0"/>
          <w:numId w:val="42"/>
        </w:numPr>
        <w:pBdr>
          <w:top w:val="single" w:sz="4" w:space="1" w:color="C00000"/>
          <w:left w:val="single" w:sz="4" w:space="4" w:color="C00000"/>
          <w:bottom w:val="single" w:sz="4" w:space="1" w:color="C00000"/>
          <w:right w:val="single" w:sz="4" w:space="4" w:color="C00000"/>
        </w:pBdr>
        <w:shd w:val="clear" w:color="auto" w:fill="740027"/>
        <w:rPr>
          <w:rFonts w:asciiTheme="minorHAnsi" w:hAnsiTheme="minorHAnsi"/>
        </w:rPr>
      </w:pPr>
      <w:bookmarkStart w:id="5" w:name="_VI._Enforcement"/>
      <w:bookmarkEnd w:id="5"/>
      <w:r w:rsidRPr="006640AA">
        <w:rPr>
          <w:rFonts w:asciiTheme="minorHAnsi" w:hAnsiTheme="minorHAnsi"/>
        </w:rPr>
        <w:tab/>
        <w:t>Enforcement</w:t>
      </w:r>
    </w:p>
    <w:p w14:paraId="3176C20C" w14:textId="77777777" w:rsidR="002771E9" w:rsidRPr="005410B4" w:rsidRDefault="002771E9" w:rsidP="007301EF">
      <w:pPr>
        <w:spacing w:before="120" w:after="240"/>
        <w:rPr>
          <w:rFonts w:asciiTheme="minorHAnsi" w:hAnsiTheme="minorHAnsi"/>
        </w:rPr>
      </w:pPr>
      <w:r w:rsidRPr="005410B4">
        <w:rPr>
          <w:rFonts w:asciiTheme="minorHAnsi" w:hAnsiTheme="minorHAnsi"/>
        </w:rPr>
        <w:t>The Vice President for Business Affairs is responsible for enforcement of the policy. </w:t>
      </w:r>
    </w:p>
    <w:p w14:paraId="33FF1662" w14:textId="77777777" w:rsidR="009C60B1" w:rsidRPr="000D1A7A" w:rsidRDefault="009C60B1" w:rsidP="00DB4992">
      <w:pPr>
        <w:pStyle w:val="Heading3"/>
        <w:numPr>
          <w:ilvl w:val="0"/>
          <w:numId w:val="43"/>
        </w:numPr>
        <w:pBdr>
          <w:top w:val="single" w:sz="4" w:space="1" w:color="C00000"/>
          <w:left w:val="single" w:sz="4" w:space="4" w:color="C00000"/>
          <w:bottom w:val="single" w:sz="4" w:space="1" w:color="C00000"/>
          <w:right w:val="single" w:sz="4" w:space="4" w:color="C00000"/>
        </w:pBdr>
        <w:shd w:val="clear" w:color="auto" w:fill="740027"/>
        <w:rPr>
          <w:rFonts w:asciiTheme="minorHAnsi" w:hAnsiTheme="minorHAnsi"/>
        </w:rPr>
      </w:pPr>
      <w:bookmarkStart w:id="6" w:name="_VII._Policy_Management"/>
      <w:bookmarkEnd w:id="6"/>
      <w:r w:rsidRPr="000D1A7A">
        <w:rPr>
          <w:rFonts w:asciiTheme="minorHAnsi" w:hAnsiTheme="minorHAnsi"/>
        </w:rPr>
        <w:tab/>
        <w:t>Policy Management</w:t>
      </w:r>
    </w:p>
    <w:p w14:paraId="5C0A8724" w14:textId="77777777" w:rsidR="002771E9" w:rsidRDefault="002771E9" w:rsidP="007301EF">
      <w:pPr>
        <w:spacing w:before="120" w:after="240"/>
        <w:rPr>
          <w:rFonts w:asciiTheme="minorHAnsi" w:hAnsiTheme="minorHAnsi"/>
        </w:rPr>
      </w:pPr>
      <w:r w:rsidRPr="005410B4">
        <w:rPr>
          <w:rFonts w:asciiTheme="minorHAnsi" w:hAnsiTheme="minorHAnsi"/>
        </w:rPr>
        <w:t>Upon adoption, the Vice President for Business Affairs shall be the Responsible Executive for the management of this Policy.  The responsible officer is the Controller and the Office of the Controller is the office that is responsible for implementing and administering the policy</w:t>
      </w:r>
      <w:r w:rsidR="005410B4">
        <w:rPr>
          <w:rFonts w:asciiTheme="minorHAnsi" w:hAnsiTheme="minorHAnsi"/>
        </w:rPr>
        <w:t>.</w:t>
      </w:r>
    </w:p>
    <w:p w14:paraId="1AEF4C3E" w14:textId="77777777" w:rsidR="009C60B1" w:rsidRPr="000D1A7A" w:rsidRDefault="009C60B1" w:rsidP="00DB4992">
      <w:pPr>
        <w:pStyle w:val="Heading3"/>
        <w:numPr>
          <w:ilvl w:val="0"/>
          <w:numId w:val="44"/>
        </w:numPr>
        <w:pBdr>
          <w:top w:val="single" w:sz="4" w:space="1" w:color="C00000"/>
          <w:left w:val="single" w:sz="4" w:space="4" w:color="C00000"/>
          <w:bottom w:val="single" w:sz="4" w:space="1" w:color="C00000"/>
          <w:right w:val="single" w:sz="4" w:space="4" w:color="C00000"/>
        </w:pBdr>
        <w:shd w:val="clear" w:color="auto" w:fill="740027"/>
        <w:rPr>
          <w:rFonts w:asciiTheme="minorHAnsi" w:hAnsiTheme="minorHAnsi"/>
        </w:rPr>
      </w:pPr>
      <w:bookmarkStart w:id="7" w:name="_VIII._Exclusions"/>
      <w:bookmarkEnd w:id="7"/>
      <w:r w:rsidRPr="000D1A7A">
        <w:rPr>
          <w:rFonts w:asciiTheme="minorHAnsi" w:hAnsiTheme="minorHAnsi"/>
        </w:rPr>
        <w:tab/>
        <w:t>Exclusions</w:t>
      </w:r>
    </w:p>
    <w:p w14:paraId="694CAA08" w14:textId="77777777" w:rsidR="002771E9" w:rsidRDefault="002771E9" w:rsidP="000D1A7A">
      <w:pPr>
        <w:spacing w:before="160" w:after="240"/>
        <w:rPr>
          <w:rFonts w:asciiTheme="minorHAnsi" w:hAnsiTheme="minorHAnsi"/>
        </w:rPr>
      </w:pPr>
      <w:r w:rsidRPr="005410B4">
        <w:rPr>
          <w:rFonts w:asciiTheme="minorHAnsi" w:hAnsiTheme="minorHAnsi"/>
        </w:rPr>
        <w:t>Any unusual circumstances or special projects not fully covered under this policy should be addressed to the Controller’s Office.</w:t>
      </w:r>
    </w:p>
    <w:p w14:paraId="3D23E7FF" w14:textId="77777777" w:rsidR="009C60B1" w:rsidRPr="000D1A7A" w:rsidRDefault="009C60B1" w:rsidP="00DB4992">
      <w:pPr>
        <w:pStyle w:val="Heading3"/>
        <w:numPr>
          <w:ilvl w:val="0"/>
          <w:numId w:val="45"/>
        </w:numPr>
        <w:pBdr>
          <w:top w:val="single" w:sz="4" w:space="1" w:color="C00000"/>
          <w:left w:val="single" w:sz="4" w:space="4" w:color="C00000"/>
          <w:bottom w:val="single" w:sz="4" w:space="1" w:color="C00000"/>
          <w:right w:val="single" w:sz="4" w:space="4" w:color="C00000"/>
        </w:pBdr>
        <w:shd w:val="clear" w:color="auto" w:fill="740027"/>
        <w:rPr>
          <w:rFonts w:asciiTheme="minorHAnsi" w:hAnsiTheme="minorHAnsi"/>
        </w:rPr>
      </w:pPr>
      <w:bookmarkStart w:id="8" w:name="_IX._Effective_Date"/>
      <w:bookmarkEnd w:id="8"/>
      <w:r w:rsidRPr="000D1A7A">
        <w:rPr>
          <w:rFonts w:asciiTheme="minorHAnsi" w:hAnsiTheme="minorHAnsi"/>
        </w:rPr>
        <w:tab/>
        <w:t>Effective Date</w:t>
      </w:r>
    </w:p>
    <w:p w14:paraId="2587FB7A" w14:textId="77777777" w:rsidR="00C256B5" w:rsidRDefault="00C256B5" w:rsidP="000D1A7A">
      <w:pPr>
        <w:spacing w:before="160" w:after="240"/>
        <w:rPr>
          <w:rFonts w:asciiTheme="minorHAnsi" w:hAnsiTheme="minorHAnsi"/>
        </w:rPr>
      </w:pPr>
      <w:r w:rsidRPr="00C256B5">
        <w:rPr>
          <w:rFonts w:asciiTheme="minorHAnsi" w:hAnsiTheme="minorHAnsi"/>
        </w:rPr>
        <w:t>This policy will be in effect upon the date it i</w:t>
      </w:r>
      <w:r>
        <w:rPr>
          <w:rFonts w:asciiTheme="minorHAnsi" w:hAnsiTheme="minorHAnsi"/>
        </w:rPr>
        <w:t>s adopted and signed by the</w:t>
      </w:r>
      <w:r w:rsidRPr="00C256B5">
        <w:rPr>
          <w:rFonts w:asciiTheme="minorHAnsi" w:hAnsiTheme="minorHAnsi"/>
        </w:rPr>
        <w:t xml:space="preserve"> President and approved by the C</w:t>
      </w:r>
      <w:r w:rsidR="00FE50FB">
        <w:rPr>
          <w:rFonts w:asciiTheme="minorHAnsi" w:hAnsiTheme="minorHAnsi"/>
        </w:rPr>
        <w:t>ash Management and Review Board – July 16, 2020.</w:t>
      </w:r>
    </w:p>
    <w:p w14:paraId="6CC748FD" w14:textId="77777777" w:rsidR="009C60B1" w:rsidRPr="000D1A7A" w:rsidRDefault="009C60B1" w:rsidP="00DB4992">
      <w:pPr>
        <w:pStyle w:val="Heading3"/>
        <w:numPr>
          <w:ilvl w:val="0"/>
          <w:numId w:val="46"/>
        </w:numPr>
        <w:pBdr>
          <w:top w:val="single" w:sz="4" w:space="1" w:color="C00000"/>
          <w:left w:val="single" w:sz="4" w:space="4" w:color="C00000"/>
          <w:bottom w:val="single" w:sz="4" w:space="1" w:color="C00000"/>
          <w:right w:val="single" w:sz="4" w:space="4" w:color="C00000"/>
        </w:pBdr>
        <w:shd w:val="clear" w:color="auto" w:fill="740027"/>
        <w:rPr>
          <w:rFonts w:asciiTheme="minorHAnsi" w:hAnsiTheme="minorHAnsi"/>
        </w:rPr>
      </w:pPr>
      <w:bookmarkStart w:id="9" w:name="_X._Adoption_Date"/>
      <w:bookmarkEnd w:id="9"/>
      <w:r w:rsidRPr="000D1A7A">
        <w:rPr>
          <w:rFonts w:asciiTheme="minorHAnsi" w:hAnsiTheme="minorHAnsi"/>
        </w:rPr>
        <w:tab/>
        <w:t xml:space="preserve">Adoption </w:t>
      </w:r>
    </w:p>
    <w:p w14:paraId="344811AA" w14:textId="77777777" w:rsidR="009C60B1" w:rsidRDefault="005949FB" w:rsidP="007301EF">
      <w:pPr>
        <w:tabs>
          <w:tab w:val="left" w:pos="720"/>
        </w:tabs>
        <w:spacing w:before="120" w:after="240"/>
        <w:rPr>
          <w:rFonts w:asciiTheme="minorHAnsi" w:hAnsiTheme="minorHAnsi"/>
        </w:rPr>
      </w:pPr>
      <w:r w:rsidRPr="00C256B5">
        <w:rPr>
          <w:rFonts w:asciiTheme="minorHAnsi" w:hAnsiTheme="minorHAnsi"/>
        </w:rPr>
        <w:t>This policy is hereby adopted on this</w:t>
      </w:r>
      <w:r w:rsidR="0005569E">
        <w:rPr>
          <w:rFonts w:asciiTheme="minorHAnsi" w:hAnsiTheme="minorHAnsi"/>
        </w:rPr>
        <w:t xml:space="preserve"> </w:t>
      </w:r>
      <w:r w:rsidR="00EF5959">
        <w:rPr>
          <w:rFonts w:asciiTheme="minorHAnsi" w:hAnsiTheme="minorHAnsi"/>
        </w:rPr>
        <w:t>24</w:t>
      </w:r>
      <w:r w:rsidR="00EF5959" w:rsidRPr="00EF5959">
        <w:rPr>
          <w:rFonts w:asciiTheme="minorHAnsi" w:hAnsiTheme="minorHAnsi"/>
          <w:vertAlign w:val="superscript"/>
        </w:rPr>
        <w:t>th</w:t>
      </w:r>
      <w:r w:rsidR="00EF5959">
        <w:rPr>
          <w:rFonts w:asciiTheme="minorHAnsi" w:hAnsiTheme="minorHAnsi"/>
        </w:rPr>
        <w:t xml:space="preserve"> </w:t>
      </w:r>
      <w:r w:rsidRPr="00C256B5">
        <w:rPr>
          <w:rFonts w:asciiTheme="minorHAnsi" w:hAnsiTheme="minorHAnsi"/>
        </w:rPr>
        <w:t xml:space="preserve">day of </w:t>
      </w:r>
      <w:r w:rsidR="00EF5959">
        <w:rPr>
          <w:rFonts w:asciiTheme="minorHAnsi" w:hAnsiTheme="minorHAnsi"/>
        </w:rPr>
        <w:t>April</w:t>
      </w:r>
      <w:r w:rsidRPr="00C256B5">
        <w:rPr>
          <w:rFonts w:asciiTheme="minorHAnsi" w:hAnsiTheme="minorHAnsi"/>
        </w:rPr>
        <w:t xml:space="preserve"> 20</w:t>
      </w:r>
      <w:r w:rsidR="0005569E">
        <w:rPr>
          <w:rFonts w:asciiTheme="minorHAnsi" w:hAnsiTheme="minorHAnsi"/>
        </w:rPr>
        <w:t>20</w:t>
      </w:r>
      <w:r w:rsidRPr="00C256B5">
        <w:rPr>
          <w:rFonts w:asciiTheme="minorHAnsi" w:hAnsiTheme="minorHAnsi"/>
        </w:rPr>
        <w:t>.</w:t>
      </w:r>
    </w:p>
    <w:p w14:paraId="4BDA750F" w14:textId="77777777" w:rsidR="00747F86" w:rsidRDefault="00747F86" w:rsidP="00747F86">
      <w:pPr>
        <w:tabs>
          <w:tab w:val="left" w:pos="720"/>
        </w:tabs>
        <w:spacing w:after="240"/>
        <w:rPr>
          <w:rFonts w:asciiTheme="minorHAnsi" w:hAnsiTheme="minorHAnsi"/>
        </w:rPr>
      </w:pPr>
      <w:r w:rsidRPr="0065093B">
        <w:rPr>
          <w:rFonts w:asciiTheme="minorHAnsi" w:hAnsiTheme="minorHAnsi"/>
        </w:rPr>
        <w:t xml:space="preserve">Recommended for Approval by: </w:t>
      </w:r>
      <w:r w:rsidRPr="0065093B">
        <w:rPr>
          <w:rFonts w:asciiTheme="minorHAnsi" w:hAnsiTheme="minorHAnsi"/>
        </w:rPr>
        <w:tab/>
      </w:r>
      <w:r w:rsidRPr="0065093B">
        <w:rPr>
          <w:rFonts w:asciiTheme="minorHAnsi" w:hAnsiTheme="minorHAnsi"/>
        </w:rPr>
        <w:tab/>
      </w:r>
      <w:r w:rsidRPr="0065093B">
        <w:rPr>
          <w:rFonts w:asciiTheme="minorHAnsi" w:hAnsiTheme="minorHAnsi"/>
        </w:rPr>
        <w:tab/>
      </w:r>
      <w:r w:rsidRPr="0065093B">
        <w:rPr>
          <w:rFonts w:asciiTheme="minorHAnsi" w:hAnsiTheme="minorHAnsi"/>
        </w:rPr>
        <w:tab/>
        <w:t>Approved by:</w:t>
      </w:r>
      <w:r w:rsidRPr="0065093B">
        <w:rPr>
          <w:rFonts w:asciiTheme="minorHAnsi" w:hAnsiTheme="minorHAnsi"/>
        </w:rPr>
        <w:tab/>
      </w:r>
      <w:r w:rsidRPr="0065093B">
        <w:rPr>
          <w:rFonts w:asciiTheme="minorHAnsi" w:hAnsiTheme="minorHAnsi"/>
        </w:rPr>
        <w:tab/>
      </w:r>
    </w:p>
    <w:p w14:paraId="16C9932C" w14:textId="77777777" w:rsidR="00747F86" w:rsidRDefault="00747F86" w:rsidP="00747F86">
      <w:pPr>
        <w:tabs>
          <w:tab w:val="left" w:pos="720"/>
        </w:tabs>
        <w:rPr>
          <w:rFonts w:asciiTheme="minorHAnsi" w:hAnsiTheme="minorHAnsi"/>
        </w:rPr>
      </w:pPr>
      <w:r w:rsidRPr="00A9661B">
        <w:rPr>
          <w:rFonts w:asciiTheme="minorHAnsi" w:hAnsiTheme="minorHAnsi"/>
          <w:noProof/>
        </w:rPr>
        <w:drawing>
          <wp:anchor distT="0" distB="0" distL="114300" distR="114300" simplePos="0" relativeHeight="251658242" behindDoc="0" locked="0" layoutInCell="1" allowOverlap="1" wp14:anchorId="2B3E7894" wp14:editId="486EDFE5">
            <wp:simplePos x="0" y="0"/>
            <wp:positionH relativeFrom="column">
              <wp:posOffset>352425</wp:posOffset>
            </wp:positionH>
            <wp:positionV relativeFrom="paragraph">
              <wp:posOffset>135255</wp:posOffset>
            </wp:positionV>
            <wp:extent cx="2085975" cy="441889"/>
            <wp:effectExtent l="0" t="0" r="0" b="0"/>
            <wp:wrapNone/>
            <wp:docPr id="2" name="Picture 2" descr="Dr. Bill Graves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r. Bill Graves Signatur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85975" cy="441889"/>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9661B">
        <w:rPr>
          <w:rFonts w:asciiTheme="minorHAnsi" w:hAnsiTheme="minorHAnsi"/>
          <w:noProof/>
        </w:rPr>
        <w:drawing>
          <wp:anchor distT="0" distB="0" distL="114300" distR="114300" simplePos="0" relativeHeight="251658241" behindDoc="0" locked="0" layoutInCell="1" allowOverlap="1" wp14:anchorId="4241695D" wp14:editId="20979F4D">
            <wp:simplePos x="0" y="0"/>
            <wp:positionH relativeFrom="column">
              <wp:posOffset>3971925</wp:posOffset>
            </wp:positionH>
            <wp:positionV relativeFrom="paragraph">
              <wp:posOffset>11430</wp:posOffset>
            </wp:positionV>
            <wp:extent cx="1676400" cy="796290"/>
            <wp:effectExtent l="0" t="0" r="0" b="0"/>
            <wp:wrapNone/>
            <wp:docPr id="1" name="Picture 1" descr="Dr. Nick Bruno's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r. Nick Bruno's Signatur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76400" cy="79629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E1FC6D7" w14:textId="77777777" w:rsidR="00747F86" w:rsidRPr="0065093B" w:rsidRDefault="00747F86" w:rsidP="00747F86">
      <w:pPr>
        <w:tabs>
          <w:tab w:val="left" w:pos="720"/>
        </w:tabs>
        <w:rPr>
          <w:rFonts w:asciiTheme="minorHAnsi" w:hAnsiTheme="minorHAnsi"/>
        </w:rPr>
      </w:pPr>
    </w:p>
    <w:p w14:paraId="341C075D" w14:textId="77777777" w:rsidR="00747F86" w:rsidRPr="0065093B" w:rsidRDefault="00747F86" w:rsidP="00747F86">
      <w:pPr>
        <w:rPr>
          <w:rFonts w:asciiTheme="minorHAnsi" w:hAnsiTheme="minorHAnsi"/>
        </w:rPr>
      </w:pPr>
      <w:r w:rsidRPr="0065093B">
        <w:rPr>
          <w:rFonts w:asciiTheme="minorHAnsi" w:hAnsiTheme="minorHAnsi"/>
        </w:rPr>
        <w:t>____________________________________</w:t>
      </w:r>
      <w:r w:rsidRPr="0065093B">
        <w:rPr>
          <w:rFonts w:asciiTheme="minorHAnsi" w:hAnsiTheme="minorHAnsi"/>
        </w:rPr>
        <w:tab/>
      </w:r>
      <w:r w:rsidRPr="0065093B">
        <w:rPr>
          <w:rFonts w:asciiTheme="minorHAnsi" w:hAnsiTheme="minorHAnsi"/>
        </w:rPr>
        <w:tab/>
      </w:r>
      <w:r w:rsidRPr="0065093B">
        <w:rPr>
          <w:rFonts w:asciiTheme="minorHAnsi" w:hAnsiTheme="minorHAnsi"/>
        </w:rPr>
        <w:tab/>
        <w:t>____________________________________</w:t>
      </w:r>
      <w:r w:rsidRPr="0065093B">
        <w:rPr>
          <w:rFonts w:asciiTheme="minorHAnsi" w:hAnsiTheme="minorHAnsi"/>
        </w:rPr>
        <w:tab/>
      </w:r>
    </w:p>
    <w:p w14:paraId="32534BC9" w14:textId="77777777" w:rsidR="00747F86" w:rsidRDefault="00747F86" w:rsidP="00747F86">
      <w:pPr>
        <w:tabs>
          <w:tab w:val="left" w:pos="720"/>
        </w:tabs>
        <w:rPr>
          <w:rFonts w:asciiTheme="minorHAnsi" w:hAnsiTheme="minorHAnsi"/>
        </w:rPr>
      </w:pPr>
      <w:r w:rsidRPr="0065093B">
        <w:rPr>
          <w:rFonts w:asciiTheme="minorHAnsi" w:hAnsiTheme="minorHAnsi"/>
        </w:rPr>
        <w:t xml:space="preserve"> </w:t>
      </w:r>
      <w:r>
        <w:rPr>
          <w:rFonts w:asciiTheme="minorHAnsi" w:hAnsiTheme="minorHAnsi"/>
        </w:rPr>
        <w:t xml:space="preserve">     Dr. Bill Graves, VP for Business Affairs</w:t>
      </w:r>
      <w:r w:rsidRPr="0065093B">
        <w:rPr>
          <w:rFonts w:asciiTheme="minorHAnsi" w:hAnsiTheme="minorHAnsi"/>
          <w:b/>
        </w:rPr>
        <w:t xml:space="preserve">    </w:t>
      </w:r>
      <w:r>
        <w:rPr>
          <w:rFonts w:asciiTheme="minorHAnsi" w:hAnsiTheme="minorHAnsi"/>
          <w:b/>
        </w:rPr>
        <w:t xml:space="preserve">      </w:t>
      </w:r>
      <w:r w:rsidRPr="0065093B">
        <w:rPr>
          <w:rFonts w:asciiTheme="minorHAnsi" w:hAnsiTheme="minorHAnsi"/>
          <w:b/>
        </w:rPr>
        <w:t xml:space="preserve">                              </w:t>
      </w:r>
      <w:r>
        <w:rPr>
          <w:rFonts w:asciiTheme="minorHAnsi" w:hAnsiTheme="minorHAnsi"/>
          <w:b/>
        </w:rPr>
        <w:t xml:space="preserve">      </w:t>
      </w:r>
      <w:r w:rsidRPr="0065093B">
        <w:rPr>
          <w:rFonts w:asciiTheme="minorHAnsi" w:hAnsiTheme="minorHAnsi"/>
        </w:rPr>
        <w:t>Dr. Nick J. Bruno, President</w:t>
      </w:r>
    </w:p>
    <w:p w14:paraId="408F1F0F" w14:textId="77777777" w:rsidR="00747F86" w:rsidRDefault="00747F86" w:rsidP="00747F86">
      <w:pPr>
        <w:jc w:val="right"/>
        <w:rPr>
          <w:rFonts w:asciiTheme="minorHAnsi" w:hAnsiTheme="minorHAnsi"/>
          <w:sz w:val="22"/>
          <w:szCs w:val="22"/>
        </w:rPr>
      </w:pPr>
    </w:p>
    <w:p w14:paraId="4DA74F66" w14:textId="77777777" w:rsidR="00B34DF6" w:rsidRPr="000D1A7A" w:rsidRDefault="00B34DF6" w:rsidP="00DB4992">
      <w:pPr>
        <w:pStyle w:val="Heading3"/>
        <w:numPr>
          <w:ilvl w:val="0"/>
          <w:numId w:val="47"/>
        </w:numPr>
        <w:pBdr>
          <w:top w:val="single" w:sz="4" w:space="1" w:color="C00000"/>
          <w:left w:val="single" w:sz="4" w:space="4" w:color="C00000"/>
          <w:bottom w:val="single" w:sz="4" w:space="1" w:color="C00000"/>
          <w:right w:val="single" w:sz="4" w:space="4" w:color="C00000"/>
        </w:pBdr>
        <w:shd w:val="clear" w:color="auto" w:fill="740027"/>
        <w:rPr>
          <w:rFonts w:asciiTheme="minorHAnsi" w:hAnsiTheme="minorHAnsi"/>
        </w:rPr>
      </w:pPr>
      <w:bookmarkStart w:id="10" w:name="_XI._References_and"/>
      <w:bookmarkStart w:id="11" w:name="_XI._Appendices,_References"/>
      <w:bookmarkEnd w:id="10"/>
      <w:bookmarkEnd w:id="11"/>
      <w:r w:rsidRPr="000D1A7A">
        <w:rPr>
          <w:rFonts w:asciiTheme="minorHAnsi" w:hAnsiTheme="minorHAnsi"/>
        </w:rPr>
        <w:tab/>
      </w:r>
      <w:r w:rsidR="00DC6236" w:rsidRPr="000D1A7A">
        <w:rPr>
          <w:rFonts w:asciiTheme="minorHAnsi" w:hAnsiTheme="minorHAnsi"/>
        </w:rPr>
        <w:t xml:space="preserve">Appendices, </w:t>
      </w:r>
      <w:r w:rsidR="008B5DDB" w:rsidRPr="000D1A7A">
        <w:rPr>
          <w:rFonts w:asciiTheme="minorHAnsi" w:hAnsiTheme="minorHAnsi"/>
        </w:rPr>
        <w:t>References and Related Materials</w:t>
      </w:r>
    </w:p>
    <w:p w14:paraId="269DEACD" w14:textId="77777777" w:rsidR="009D4F4F" w:rsidRPr="005410B4" w:rsidRDefault="005410B4" w:rsidP="007301EF">
      <w:pPr>
        <w:spacing w:before="120" w:after="240"/>
        <w:rPr>
          <w:rFonts w:asciiTheme="minorHAnsi" w:hAnsiTheme="minorHAnsi"/>
        </w:rPr>
      </w:pPr>
      <w:r w:rsidRPr="005410B4">
        <w:rPr>
          <w:rFonts w:asciiTheme="minorHAnsi" w:hAnsiTheme="minorHAnsi"/>
        </w:rPr>
        <w:t>N/A</w:t>
      </w:r>
    </w:p>
    <w:p w14:paraId="13457FC9" w14:textId="77777777" w:rsidR="00DC6236" w:rsidRPr="000D1A7A" w:rsidRDefault="00DC6236" w:rsidP="00DB4992">
      <w:pPr>
        <w:pStyle w:val="Heading3"/>
        <w:numPr>
          <w:ilvl w:val="0"/>
          <w:numId w:val="48"/>
        </w:numPr>
        <w:pBdr>
          <w:top w:val="single" w:sz="4" w:space="1" w:color="C00000"/>
          <w:left w:val="single" w:sz="4" w:space="4" w:color="C00000"/>
          <w:bottom w:val="single" w:sz="4" w:space="1" w:color="C00000"/>
          <w:right w:val="single" w:sz="4" w:space="4" w:color="C00000"/>
        </w:pBdr>
        <w:shd w:val="clear" w:color="auto" w:fill="740027"/>
        <w:tabs>
          <w:tab w:val="left" w:pos="720"/>
          <w:tab w:val="left" w:pos="1440"/>
          <w:tab w:val="left" w:pos="2160"/>
          <w:tab w:val="left" w:pos="2760"/>
        </w:tabs>
        <w:rPr>
          <w:rFonts w:asciiTheme="minorHAnsi" w:hAnsiTheme="minorHAnsi"/>
        </w:rPr>
      </w:pPr>
      <w:bookmarkStart w:id="12" w:name="_XII._Revision_History"/>
      <w:bookmarkEnd w:id="12"/>
      <w:r w:rsidRPr="000D1A7A">
        <w:rPr>
          <w:rFonts w:asciiTheme="minorHAnsi" w:hAnsiTheme="minorHAnsi"/>
        </w:rPr>
        <w:tab/>
        <w:t>Revision History</w:t>
      </w:r>
      <w:r w:rsidR="00892246" w:rsidRPr="000D1A7A">
        <w:rPr>
          <w:rFonts w:asciiTheme="minorHAnsi" w:hAnsiTheme="minorHAnsi"/>
        </w:rPr>
        <w:tab/>
      </w:r>
    </w:p>
    <w:p w14:paraId="6C43F62B" w14:textId="77777777" w:rsidR="00E0161E" w:rsidRPr="005410B4" w:rsidRDefault="00E0161E" w:rsidP="007301EF">
      <w:pPr>
        <w:spacing w:before="120" w:after="240"/>
        <w:rPr>
          <w:rFonts w:asciiTheme="minorHAnsi" w:hAnsiTheme="minorHAnsi"/>
        </w:rPr>
      </w:pPr>
      <w:r w:rsidRPr="005410B4">
        <w:rPr>
          <w:rFonts w:asciiTheme="minorHAnsi" w:hAnsiTheme="minorHAnsi"/>
        </w:rPr>
        <w:t>Revised May 23, 2018: Revisions include corrections throughout for appropriate titles of those positions conducting specific tasks. Substantial revisions were made in the collection of receivables section and an adoption</w:t>
      </w:r>
      <w:r w:rsidR="0093153D">
        <w:rPr>
          <w:rFonts w:asciiTheme="minorHAnsi" w:hAnsiTheme="minorHAnsi"/>
        </w:rPr>
        <w:t xml:space="preserve"> </w:t>
      </w:r>
      <w:r w:rsidRPr="005410B4">
        <w:rPr>
          <w:rFonts w:asciiTheme="minorHAnsi" w:hAnsiTheme="minorHAnsi"/>
        </w:rPr>
        <w:t>date and signature line were added.</w:t>
      </w:r>
    </w:p>
    <w:p w14:paraId="0647B9A6" w14:textId="77777777" w:rsidR="00DC6236" w:rsidRPr="001011C2" w:rsidRDefault="00EF5959" w:rsidP="001011C2">
      <w:pPr>
        <w:spacing w:before="160"/>
        <w:rPr>
          <w:rFonts w:asciiTheme="minorHAnsi" w:hAnsiTheme="minorHAnsi"/>
        </w:rPr>
      </w:pPr>
      <w:r>
        <w:rPr>
          <w:rFonts w:asciiTheme="minorHAnsi" w:hAnsiTheme="minorHAnsi"/>
        </w:rPr>
        <w:lastRenderedPageBreak/>
        <w:t>Revised April 24</w:t>
      </w:r>
      <w:r w:rsidR="00E0161E" w:rsidRPr="005410B4">
        <w:rPr>
          <w:rFonts w:asciiTheme="minorHAnsi" w:hAnsiTheme="minorHAnsi"/>
        </w:rPr>
        <w:t>, 2020: Revisions include placing the policy into the official policy template, changing position titles to reflect individuals responsible for specific actions</w:t>
      </w:r>
      <w:r w:rsidR="00A56652" w:rsidRPr="005410B4">
        <w:rPr>
          <w:rFonts w:asciiTheme="minorHAnsi" w:hAnsiTheme="minorHAnsi"/>
        </w:rPr>
        <w:t xml:space="preserve"> and small changes in processes. The denomination amount for long term investments was changed from $1,000,000.00 to $500,000.00.</w:t>
      </w:r>
    </w:p>
    <w:sectPr w:rsidR="00DC6236" w:rsidRPr="001011C2" w:rsidSect="005410B4">
      <w:footerReference w:type="default" r:id="rId14"/>
      <w:pgSz w:w="12240" w:h="15840" w:code="1"/>
      <w:pgMar w:top="720" w:right="1080" w:bottom="432" w:left="1080" w:header="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820E66" w14:textId="77777777" w:rsidR="00051984" w:rsidRDefault="00051984">
      <w:r>
        <w:separator/>
      </w:r>
    </w:p>
  </w:endnote>
  <w:endnote w:type="continuationSeparator" w:id="0">
    <w:p w14:paraId="3B55BC58" w14:textId="77777777" w:rsidR="00051984" w:rsidRDefault="00051984">
      <w:r>
        <w:continuationSeparator/>
      </w:r>
    </w:p>
  </w:endnote>
  <w:endnote w:type="continuationNotice" w:id="1">
    <w:p w14:paraId="78194C19" w14:textId="77777777" w:rsidR="00051984" w:rsidRDefault="000519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01823333"/>
      <w:docPartObj>
        <w:docPartGallery w:val="Page Numbers (Bottom of Page)"/>
        <w:docPartUnique/>
      </w:docPartObj>
    </w:sdtPr>
    <w:sdtEndPr/>
    <w:sdtContent>
      <w:sdt>
        <w:sdtPr>
          <w:id w:val="-1769616900"/>
          <w:docPartObj>
            <w:docPartGallery w:val="Page Numbers (Top of Page)"/>
            <w:docPartUnique/>
          </w:docPartObj>
        </w:sdtPr>
        <w:sdtEndPr/>
        <w:sdtContent>
          <w:p w14:paraId="74AAF0C6" w14:textId="77777777" w:rsidR="002A45EB" w:rsidRPr="00B93AFE" w:rsidRDefault="00B543E9" w:rsidP="002A45EB">
            <w:pPr>
              <w:pStyle w:val="NoSpacing"/>
              <w:rPr>
                <w:rFonts w:asciiTheme="minorHAnsi" w:hAnsiTheme="minorHAnsi"/>
                <w:bCs/>
              </w:rPr>
            </w:pPr>
            <w:r>
              <w:rPr>
                <w:rFonts w:asciiTheme="minorHAnsi" w:hAnsiTheme="minorHAnsi"/>
              </w:rPr>
              <w:t xml:space="preserve">Centralized Cash Management Policy </w:t>
            </w:r>
            <w:r w:rsidR="002A45EB" w:rsidRPr="00B93AFE">
              <w:rPr>
                <w:rFonts w:asciiTheme="minorHAnsi" w:hAnsiTheme="minorHAnsi"/>
              </w:rPr>
              <w:t xml:space="preserve">    </w:t>
            </w:r>
            <w:r>
              <w:rPr>
                <w:rFonts w:asciiTheme="minorHAnsi" w:hAnsiTheme="minorHAnsi"/>
              </w:rPr>
              <w:t xml:space="preserve">                                                </w:t>
            </w:r>
            <w:r w:rsidR="002A45EB" w:rsidRPr="00B93AFE">
              <w:rPr>
                <w:rFonts w:asciiTheme="minorHAnsi" w:hAnsiTheme="minorHAnsi"/>
              </w:rPr>
              <w:t xml:space="preserve">                   </w:t>
            </w:r>
            <w:r w:rsidR="00B93AFE">
              <w:rPr>
                <w:rFonts w:asciiTheme="minorHAnsi" w:hAnsiTheme="minorHAnsi"/>
              </w:rPr>
              <w:t xml:space="preserve"> </w:t>
            </w:r>
            <w:r>
              <w:rPr>
                <w:rFonts w:asciiTheme="minorHAnsi" w:hAnsiTheme="minorHAnsi"/>
              </w:rPr>
              <w:t xml:space="preserve">           </w:t>
            </w:r>
            <w:r w:rsidR="002A45EB" w:rsidRPr="00B93AFE">
              <w:rPr>
                <w:rFonts w:asciiTheme="minorHAnsi" w:hAnsiTheme="minorHAnsi"/>
              </w:rPr>
              <w:t xml:space="preserve">               Page </w:t>
            </w:r>
            <w:r w:rsidR="002A45EB" w:rsidRPr="00B93AFE">
              <w:rPr>
                <w:rFonts w:asciiTheme="minorHAnsi" w:hAnsiTheme="minorHAnsi"/>
                <w:bCs/>
              </w:rPr>
              <w:fldChar w:fldCharType="begin"/>
            </w:r>
            <w:r w:rsidR="002A45EB" w:rsidRPr="00B93AFE">
              <w:rPr>
                <w:rFonts w:asciiTheme="minorHAnsi" w:hAnsiTheme="minorHAnsi"/>
                <w:bCs/>
              </w:rPr>
              <w:instrText xml:space="preserve"> PAGE </w:instrText>
            </w:r>
            <w:r w:rsidR="002A45EB" w:rsidRPr="00B93AFE">
              <w:rPr>
                <w:rFonts w:asciiTheme="minorHAnsi" w:hAnsiTheme="minorHAnsi"/>
                <w:bCs/>
              </w:rPr>
              <w:fldChar w:fldCharType="separate"/>
            </w:r>
            <w:r w:rsidR="00FE50FB">
              <w:rPr>
                <w:rFonts w:asciiTheme="minorHAnsi" w:hAnsiTheme="minorHAnsi"/>
                <w:bCs/>
                <w:noProof/>
              </w:rPr>
              <w:t>1</w:t>
            </w:r>
            <w:r w:rsidR="002A45EB" w:rsidRPr="00B93AFE">
              <w:rPr>
                <w:rFonts w:asciiTheme="minorHAnsi" w:hAnsiTheme="minorHAnsi"/>
                <w:bCs/>
              </w:rPr>
              <w:fldChar w:fldCharType="end"/>
            </w:r>
            <w:r w:rsidR="002A45EB" w:rsidRPr="00B93AFE">
              <w:rPr>
                <w:rFonts w:asciiTheme="minorHAnsi" w:hAnsiTheme="minorHAnsi"/>
              </w:rPr>
              <w:t xml:space="preserve"> of </w:t>
            </w:r>
            <w:r w:rsidR="002A45EB" w:rsidRPr="00B93AFE">
              <w:rPr>
                <w:rFonts w:asciiTheme="minorHAnsi" w:hAnsiTheme="minorHAnsi"/>
                <w:bCs/>
              </w:rPr>
              <w:fldChar w:fldCharType="begin"/>
            </w:r>
            <w:r w:rsidR="002A45EB" w:rsidRPr="00B93AFE">
              <w:rPr>
                <w:rFonts w:asciiTheme="minorHAnsi" w:hAnsiTheme="minorHAnsi"/>
                <w:bCs/>
              </w:rPr>
              <w:instrText xml:space="preserve"> NUMPAGES  </w:instrText>
            </w:r>
            <w:r w:rsidR="002A45EB" w:rsidRPr="00B93AFE">
              <w:rPr>
                <w:rFonts w:asciiTheme="minorHAnsi" w:hAnsiTheme="minorHAnsi"/>
                <w:bCs/>
              </w:rPr>
              <w:fldChar w:fldCharType="separate"/>
            </w:r>
            <w:r w:rsidR="00FE50FB">
              <w:rPr>
                <w:rFonts w:asciiTheme="minorHAnsi" w:hAnsiTheme="minorHAnsi"/>
                <w:bCs/>
                <w:noProof/>
              </w:rPr>
              <w:t>7</w:t>
            </w:r>
            <w:r w:rsidR="002A45EB" w:rsidRPr="00B93AFE">
              <w:rPr>
                <w:rFonts w:asciiTheme="minorHAnsi" w:hAnsiTheme="minorHAnsi"/>
                <w:bCs/>
              </w:rPr>
              <w:fldChar w:fldCharType="end"/>
            </w:r>
          </w:p>
          <w:p w14:paraId="5CE3D097" w14:textId="77777777" w:rsidR="002A45EB" w:rsidRPr="00B93AFE" w:rsidRDefault="00B543E9" w:rsidP="002A45EB">
            <w:pPr>
              <w:pStyle w:val="NoSpacing"/>
              <w:rPr>
                <w:rFonts w:asciiTheme="minorHAnsi" w:hAnsiTheme="minorHAnsi"/>
                <w:bCs/>
              </w:rPr>
            </w:pPr>
            <w:r>
              <w:rPr>
                <w:rFonts w:asciiTheme="minorHAnsi" w:hAnsiTheme="minorHAnsi"/>
                <w:bCs/>
              </w:rPr>
              <w:t>CO003</w:t>
            </w:r>
            <w:r w:rsidR="00FE50FB">
              <w:rPr>
                <w:rFonts w:asciiTheme="minorHAnsi" w:hAnsiTheme="minorHAnsi"/>
                <w:bCs/>
              </w:rPr>
              <w:t>.1 – April 24</w:t>
            </w:r>
            <w:r>
              <w:rPr>
                <w:rFonts w:asciiTheme="minorHAnsi" w:hAnsiTheme="minorHAnsi"/>
                <w:bCs/>
              </w:rPr>
              <w:t>, 2020</w:t>
            </w:r>
          </w:p>
          <w:p w14:paraId="2AC62A04" w14:textId="77777777" w:rsidR="009F793A" w:rsidRPr="00B93AFE" w:rsidRDefault="002A45EB" w:rsidP="007A3387">
            <w:pPr>
              <w:pStyle w:val="NoSpacing"/>
              <w:rPr>
                <w:rFonts w:asciiTheme="minorHAnsi" w:hAnsiTheme="minorHAnsi"/>
                <w:bCs/>
                <w:sz w:val="20"/>
                <w:szCs w:val="20"/>
              </w:rPr>
            </w:pPr>
            <w:r>
              <w:rPr>
                <w:rFonts w:asciiTheme="minorHAnsi" w:hAnsiTheme="minorHAnsi"/>
                <w:bCs/>
                <w:sz w:val="22"/>
                <w:szCs w:val="22"/>
              </w:rPr>
              <w:t xml:space="preserve">                                                                                                                                                                           </w:t>
            </w:r>
            <w:r w:rsidR="00DB4992">
              <w:rPr>
                <w:rFonts w:asciiTheme="minorHAnsi" w:hAnsiTheme="minorHAnsi"/>
                <w:bCs/>
                <w:sz w:val="22"/>
                <w:szCs w:val="22"/>
              </w:rPr>
              <w:t xml:space="preserve">   </w:t>
            </w:r>
            <w:r>
              <w:rPr>
                <w:rFonts w:asciiTheme="minorHAnsi" w:hAnsiTheme="minorHAnsi"/>
                <w:bCs/>
                <w:sz w:val="22"/>
                <w:szCs w:val="22"/>
              </w:rPr>
              <w:t xml:space="preserve">   </w:t>
            </w:r>
            <w:r w:rsidR="001109B8" w:rsidRPr="00675C03">
              <w:rPr>
                <w:rFonts w:asciiTheme="minorHAnsi" w:hAnsiTheme="minorHAnsi"/>
                <w:bCs/>
                <w:color w:val="000000" w:themeColor="text1"/>
                <w:sz w:val="20"/>
                <w:szCs w:val="20"/>
              </w:rPr>
              <w:t xml:space="preserve">Rev. </w:t>
            </w:r>
            <w:r w:rsidR="00DB4992" w:rsidRPr="00675C03">
              <w:rPr>
                <w:rFonts w:asciiTheme="minorHAnsi" w:hAnsiTheme="minorHAnsi"/>
                <w:bCs/>
                <w:color w:val="000000" w:themeColor="text1"/>
                <w:sz w:val="20"/>
                <w:szCs w:val="20"/>
              </w:rPr>
              <w:t>3</w:t>
            </w:r>
            <w:r w:rsidR="001109B8" w:rsidRPr="00675C03">
              <w:rPr>
                <w:rFonts w:asciiTheme="minorHAnsi" w:hAnsiTheme="minorHAnsi"/>
                <w:bCs/>
                <w:color w:val="000000" w:themeColor="text1"/>
                <w:sz w:val="20"/>
                <w:szCs w:val="20"/>
              </w:rPr>
              <w:t>/</w:t>
            </w:r>
            <w:r w:rsidR="00A15574" w:rsidRPr="00675C03">
              <w:rPr>
                <w:rFonts w:asciiTheme="minorHAnsi" w:hAnsiTheme="minorHAnsi"/>
                <w:bCs/>
                <w:color w:val="000000" w:themeColor="text1"/>
                <w:sz w:val="20"/>
                <w:szCs w:val="20"/>
              </w:rPr>
              <w:t>27</w:t>
            </w:r>
            <w:r w:rsidRPr="00675C03">
              <w:rPr>
                <w:rFonts w:asciiTheme="minorHAnsi" w:hAnsiTheme="minorHAnsi"/>
                <w:bCs/>
                <w:color w:val="000000" w:themeColor="text1"/>
                <w:sz w:val="20"/>
                <w:szCs w:val="20"/>
              </w:rPr>
              <w:t>/20</w:t>
            </w:r>
            <w:r w:rsidR="00DB4992" w:rsidRPr="00675C03">
              <w:rPr>
                <w:rFonts w:asciiTheme="minorHAnsi" w:hAnsiTheme="minorHAnsi"/>
                <w:bCs/>
                <w:color w:val="000000" w:themeColor="text1"/>
                <w:sz w:val="20"/>
                <w:szCs w:val="20"/>
              </w:rPr>
              <w:t>20</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E62964" w14:textId="77777777" w:rsidR="00051984" w:rsidRDefault="00051984">
      <w:r>
        <w:separator/>
      </w:r>
    </w:p>
  </w:footnote>
  <w:footnote w:type="continuationSeparator" w:id="0">
    <w:p w14:paraId="585529D9" w14:textId="77777777" w:rsidR="00051984" w:rsidRDefault="00051984">
      <w:r>
        <w:continuationSeparator/>
      </w:r>
    </w:p>
  </w:footnote>
  <w:footnote w:type="continuationNotice" w:id="1">
    <w:p w14:paraId="0983DA78" w14:textId="77777777" w:rsidR="00051984" w:rsidRDefault="0005198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1" type="#_x0000_t75" style="width:45.75pt;height:51pt" o:bullet="t">
        <v:imagedata r:id="rId1" o:title="UL Fleur de Lis"/>
      </v:shape>
    </w:pict>
  </w:numPicBullet>
  <w:abstractNum w:abstractNumId="0" w15:restartNumberingAfterBreak="0">
    <w:nsid w:val="042C36B3"/>
    <w:multiLevelType w:val="hybridMultilevel"/>
    <w:tmpl w:val="DF007C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C9118A"/>
    <w:multiLevelType w:val="hybridMultilevel"/>
    <w:tmpl w:val="0B2E398E"/>
    <w:lvl w:ilvl="0" w:tplc="04090007">
      <w:start w:val="1"/>
      <w:numFmt w:val="bullet"/>
      <w:lvlText w:val=""/>
      <w:lvlJc w:val="left"/>
      <w:pPr>
        <w:tabs>
          <w:tab w:val="num" w:pos="1800"/>
        </w:tabs>
        <w:ind w:left="1800" w:hanging="360"/>
      </w:pPr>
      <w:rPr>
        <w:rFonts w:ascii="Wingdings" w:hAnsi="Wingdings" w:hint="default"/>
        <w:sz w:val="16"/>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 w15:restartNumberingAfterBreak="0">
    <w:nsid w:val="0D89740B"/>
    <w:multiLevelType w:val="multilevel"/>
    <w:tmpl w:val="4FCC9E5A"/>
    <w:lvl w:ilvl="0">
      <w:start w:val="1"/>
      <w:numFmt w:val="upperLetter"/>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20A3E9F"/>
    <w:multiLevelType w:val="hybridMultilevel"/>
    <w:tmpl w:val="C16A764E"/>
    <w:lvl w:ilvl="0" w:tplc="28BAEB80">
      <w:start w:val="1"/>
      <w:numFmt w:val="upperRoman"/>
      <w:lvlText w:val="%1."/>
      <w:lvlJc w:val="left"/>
      <w:pPr>
        <w:ind w:left="810" w:hanging="360"/>
      </w:pPr>
      <w:rPr>
        <w:rFonts w:hint="default"/>
        <w:b/>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7500FBB"/>
    <w:multiLevelType w:val="hybridMultilevel"/>
    <w:tmpl w:val="6120945A"/>
    <w:lvl w:ilvl="0" w:tplc="F10880BE">
      <w:start w:val="1"/>
      <w:numFmt w:val="decimal"/>
      <w:lvlText w:val="%1."/>
      <w:lvlJc w:val="left"/>
      <w:pPr>
        <w:ind w:left="720" w:hanging="360"/>
      </w:pPr>
      <w:rPr>
        <w:rFonts w:ascii="Calibri" w:eastAsia="Times New Roman" w:hAnsi="Calibri" w:cs="Times New Roman"/>
      </w:rPr>
    </w:lvl>
    <w:lvl w:ilvl="1" w:tplc="04090019">
      <w:start w:val="1"/>
      <w:numFmt w:val="lowerLetter"/>
      <w:lvlText w:val="%2."/>
      <w:lvlJc w:val="left"/>
      <w:pPr>
        <w:ind w:left="1440" w:hanging="360"/>
      </w:pPr>
    </w:lvl>
    <w:lvl w:ilvl="2" w:tplc="BA3E8A72">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6739BA"/>
    <w:multiLevelType w:val="hybridMultilevel"/>
    <w:tmpl w:val="2F36B27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5">
      <w:start w:val="1"/>
      <w:numFmt w:val="bullet"/>
      <w:lvlText w:val=""/>
      <w:lvlJc w:val="left"/>
      <w:pPr>
        <w:tabs>
          <w:tab w:val="num" w:pos="2880"/>
        </w:tabs>
        <w:ind w:left="2880" w:hanging="360"/>
      </w:pPr>
      <w:rPr>
        <w:rFonts w:ascii="Wingdings" w:hAnsi="Wingding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C9949A4"/>
    <w:multiLevelType w:val="hybridMultilevel"/>
    <w:tmpl w:val="485C4D4E"/>
    <w:lvl w:ilvl="0" w:tplc="122C82E8">
      <w:start w:val="1"/>
      <w:numFmt w:val="decimal"/>
      <w:lvlText w:val="%1."/>
      <w:lvlJc w:val="left"/>
      <w:pPr>
        <w:ind w:left="720" w:hanging="360"/>
      </w:pPr>
      <w:rPr>
        <w:rFonts w:ascii="Calibri" w:eastAsia="Times New Roman" w:hAnsi="Calibri"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BA48A0"/>
    <w:multiLevelType w:val="multilevel"/>
    <w:tmpl w:val="D26899A8"/>
    <w:lvl w:ilvl="0">
      <w:start w:val="1"/>
      <w:numFmt w:val="upperRoman"/>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F8D1E58"/>
    <w:multiLevelType w:val="multilevel"/>
    <w:tmpl w:val="BD7CDCC8"/>
    <w:lvl w:ilvl="0">
      <w:start w:val="1"/>
      <w:numFmt w:val="upperRoman"/>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0B509D8"/>
    <w:multiLevelType w:val="multilevel"/>
    <w:tmpl w:val="9C863786"/>
    <w:lvl w:ilvl="0">
      <w:start w:val="1"/>
      <w:numFmt w:val="upperRoman"/>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483695F"/>
    <w:multiLevelType w:val="hybridMultilevel"/>
    <w:tmpl w:val="DFFED424"/>
    <w:lvl w:ilvl="0" w:tplc="0409000F">
      <w:start w:val="1"/>
      <w:numFmt w:val="decimal"/>
      <w:lvlText w:val="%1."/>
      <w:lvlJc w:val="left"/>
      <w:pPr>
        <w:tabs>
          <w:tab w:val="num" w:pos="720"/>
        </w:tabs>
        <w:ind w:left="720" w:hanging="360"/>
      </w:pPr>
    </w:lvl>
    <w:lvl w:ilvl="1" w:tplc="009A6A1E">
      <w:start w:val="1"/>
      <w:numFmt w:val="lowerLetter"/>
      <w:lvlText w:val="%2."/>
      <w:lvlJc w:val="left"/>
      <w:pPr>
        <w:tabs>
          <w:tab w:val="num" w:pos="1440"/>
        </w:tabs>
        <w:ind w:left="1440" w:hanging="360"/>
      </w:pPr>
      <w:rPr>
        <w:rFonts w:hint="default"/>
      </w:r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A0D724C"/>
    <w:multiLevelType w:val="hybridMultilevel"/>
    <w:tmpl w:val="E96C79DA"/>
    <w:lvl w:ilvl="0" w:tplc="0409000F">
      <w:start w:val="2"/>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B4F1F6C"/>
    <w:multiLevelType w:val="hybridMultilevel"/>
    <w:tmpl w:val="06BCA71A"/>
    <w:lvl w:ilvl="0" w:tplc="5DE0DD84">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ECF7D82"/>
    <w:multiLevelType w:val="singleLevel"/>
    <w:tmpl w:val="5C3276D4"/>
    <w:lvl w:ilvl="0">
      <w:start w:val="1"/>
      <w:numFmt w:val="lowerLetter"/>
      <w:lvlText w:val="%1."/>
      <w:legacy w:legacy="1" w:legacySpace="120" w:legacyIndent="360"/>
      <w:lvlJc w:val="left"/>
      <w:pPr>
        <w:ind w:left="720" w:hanging="360"/>
      </w:pPr>
    </w:lvl>
  </w:abstractNum>
  <w:abstractNum w:abstractNumId="14" w15:restartNumberingAfterBreak="0">
    <w:nsid w:val="2FFF75D7"/>
    <w:multiLevelType w:val="hybridMultilevel"/>
    <w:tmpl w:val="24F2AF5E"/>
    <w:lvl w:ilvl="0" w:tplc="6CD244D2">
      <w:start w:val="1"/>
      <w:numFmt w:val="decimal"/>
      <w:lvlText w:val="%1."/>
      <w:lvlJc w:val="left"/>
      <w:pPr>
        <w:tabs>
          <w:tab w:val="num" w:pos="660"/>
        </w:tabs>
        <w:ind w:left="660" w:hanging="360"/>
      </w:pPr>
      <w:rPr>
        <w:rFonts w:hint="default"/>
      </w:rPr>
    </w:lvl>
    <w:lvl w:ilvl="1" w:tplc="30103D76">
      <w:start w:val="1"/>
      <w:numFmt w:val="lowerLetter"/>
      <w:lvlText w:val="%2."/>
      <w:lvlJc w:val="left"/>
      <w:pPr>
        <w:tabs>
          <w:tab w:val="num" w:pos="1380"/>
        </w:tabs>
        <w:ind w:left="1380" w:hanging="360"/>
      </w:pPr>
      <w:rPr>
        <w:rFonts w:hint="default"/>
      </w:rPr>
    </w:lvl>
    <w:lvl w:ilvl="2" w:tplc="0409001B">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15" w15:restartNumberingAfterBreak="0">
    <w:nsid w:val="331E3F0C"/>
    <w:multiLevelType w:val="multilevel"/>
    <w:tmpl w:val="C81449FC"/>
    <w:lvl w:ilvl="0">
      <w:start w:val="1"/>
      <w:numFmt w:val="upperRoman"/>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77E1545"/>
    <w:multiLevelType w:val="hybridMultilevel"/>
    <w:tmpl w:val="D466F9EE"/>
    <w:lvl w:ilvl="0" w:tplc="6ADCF9B2">
      <w:start w:val="1"/>
      <w:numFmt w:val="lowerLetter"/>
      <w:lvlText w:val="%1."/>
      <w:lvlJc w:val="left"/>
      <w:pPr>
        <w:tabs>
          <w:tab w:val="num" w:pos="1140"/>
        </w:tabs>
        <w:ind w:left="1140" w:hanging="360"/>
      </w:pPr>
      <w:rPr>
        <w:rFonts w:hint="default"/>
      </w:rPr>
    </w:lvl>
    <w:lvl w:ilvl="1" w:tplc="04090019" w:tentative="1">
      <w:start w:val="1"/>
      <w:numFmt w:val="lowerLetter"/>
      <w:lvlText w:val="%2."/>
      <w:lvlJc w:val="left"/>
      <w:pPr>
        <w:tabs>
          <w:tab w:val="num" w:pos="1860"/>
        </w:tabs>
        <w:ind w:left="1860" w:hanging="360"/>
      </w:pPr>
    </w:lvl>
    <w:lvl w:ilvl="2" w:tplc="0409001B" w:tentative="1">
      <w:start w:val="1"/>
      <w:numFmt w:val="lowerRoman"/>
      <w:lvlText w:val="%3."/>
      <w:lvlJc w:val="right"/>
      <w:pPr>
        <w:tabs>
          <w:tab w:val="num" w:pos="2580"/>
        </w:tabs>
        <w:ind w:left="2580" w:hanging="180"/>
      </w:pPr>
    </w:lvl>
    <w:lvl w:ilvl="3" w:tplc="0409000F" w:tentative="1">
      <w:start w:val="1"/>
      <w:numFmt w:val="decimal"/>
      <w:lvlText w:val="%4."/>
      <w:lvlJc w:val="left"/>
      <w:pPr>
        <w:tabs>
          <w:tab w:val="num" w:pos="3300"/>
        </w:tabs>
        <w:ind w:left="3300" w:hanging="360"/>
      </w:pPr>
    </w:lvl>
    <w:lvl w:ilvl="4" w:tplc="04090019" w:tentative="1">
      <w:start w:val="1"/>
      <w:numFmt w:val="lowerLetter"/>
      <w:lvlText w:val="%5."/>
      <w:lvlJc w:val="left"/>
      <w:pPr>
        <w:tabs>
          <w:tab w:val="num" w:pos="4020"/>
        </w:tabs>
        <w:ind w:left="4020" w:hanging="360"/>
      </w:p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abstractNum w:abstractNumId="17" w15:restartNumberingAfterBreak="0">
    <w:nsid w:val="3B1C4F24"/>
    <w:multiLevelType w:val="hybridMultilevel"/>
    <w:tmpl w:val="6010DF66"/>
    <w:lvl w:ilvl="0" w:tplc="0628A304">
      <w:start w:val="1"/>
      <w:numFmt w:val="decimal"/>
      <w:lvlText w:val="%1."/>
      <w:lvlJc w:val="left"/>
      <w:pPr>
        <w:tabs>
          <w:tab w:val="num" w:pos="660"/>
        </w:tabs>
        <w:ind w:left="660" w:hanging="360"/>
      </w:pPr>
      <w:rPr>
        <w:rFonts w:hint="default"/>
      </w:rPr>
    </w:lvl>
    <w:lvl w:ilvl="1" w:tplc="04090019" w:tentative="1">
      <w:start w:val="1"/>
      <w:numFmt w:val="lowerLetter"/>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18" w15:restartNumberingAfterBreak="0">
    <w:nsid w:val="3B957427"/>
    <w:multiLevelType w:val="hybridMultilevel"/>
    <w:tmpl w:val="A86262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3C1C37A4"/>
    <w:multiLevelType w:val="hybridMultilevel"/>
    <w:tmpl w:val="269236E0"/>
    <w:lvl w:ilvl="0" w:tplc="04090007">
      <w:start w:val="1"/>
      <w:numFmt w:val="bullet"/>
      <w:lvlText w:val=""/>
      <w:lvlJc w:val="left"/>
      <w:pPr>
        <w:tabs>
          <w:tab w:val="num" w:pos="1080"/>
        </w:tabs>
        <w:ind w:left="1080" w:hanging="360"/>
      </w:pPr>
      <w:rPr>
        <w:rFonts w:ascii="Wingdings" w:hAnsi="Wingdings" w:hint="default"/>
        <w:sz w:val="16"/>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453B24D7"/>
    <w:multiLevelType w:val="multilevel"/>
    <w:tmpl w:val="25904EAC"/>
    <w:lvl w:ilvl="0">
      <w:start w:val="1"/>
      <w:numFmt w:val="upperRoman"/>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6736A31"/>
    <w:multiLevelType w:val="multilevel"/>
    <w:tmpl w:val="3984F9CC"/>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9E21C00"/>
    <w:multiLevelType w:val="multilevel"/>
    <w:tmpl w:val="BBA0596A"/>
    <w:lvl w:ilvl="0">
      <w:start w:val="1"/>
      <w:numFmt w:val="upperRoman"/>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A6A09CA"/>
    <w:multiLevelType w:val="multilevel"/>
    <w:tmpl w:val="836AF13A"/>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35B2053"/>
    <w:multiLevelType w:val="hybridMultilevel"/>
    <w:tmpl w:val="4AC2814E"/>
    <w:lvl w:ilvl="0" w:tplc="47701726">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563727C"/>
    <w:multiLevelType w:val="multilevel"/>
    <w:tmpl w:val="9C32CD98"/>
    <w:lvl w:ilvl="0">
      <w:start w:val="1"/>
      <w:numFmt w:val="upperRoman"/>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5F3065C"/>
    <w:multiLevelType w:val="hybridMultilevel"/>
    <w:tmpl w:val="58AC53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7E81EF9"/>
    <w:multiLevelType w:val="hybridMultilevel"/>
    <w:tmpl w:val="C748BB54"/>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8" w15:restartNumberingAfterBreak="0">
    <w:nsid w:val="59C52E52"/>
    <w:multiLevelType w:val="multilevel"/>
    <w:tmpl w:val="927C3CE0"/>
    <w:lvl w:ilvl="0">
      <w:start w:val="1"/>
      <w:numFmt w:val="upperRoman"/>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9E451F6"/>
    <w:multiLevelType w:val="hybridMultilevel"/>
    <w:tmpl w:val="3FB809CE"/>
    <w:lvl w:ilvl="0" w:tplc="EA6A610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B272F8A"/>
    <w:multiLevelType w:val="multilevel"/>
    <w:tmpl w:val="157A6420"/>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1" w15:restartNumberingAfterBreak="0">
    <w:nsid w:val="5C766B85"/>
    <w:multiLevelType w:val="hybridMultilevel"/>
    <w:tmpl w:val="FAB8039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5">
      <w:start w:val="1"/>
      <w:numFmt w:val="bullet"/>
      <w:lvlText w:val=""/>
      <w:lvlJc w:val="left"/>
      <w:pPr>
        <w:tabs>
          <w:tab w:val="num" w:pos="2880"/>
        </w:tabs>
        <w:ind w:left="2880" w:hanging="360"/>
      </w:pPr>
      <w:rPr>
        <w:rFonts w:ascii="Wingdings" w:hAnsi="Wingding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F3D6211"/>
    <w:multiLevelType w:val="multilevel"/>
    <w:tmpl w:val="E46C7FB2"/>
    <w:lvl w:ilvl="0">
      <w:start w:val="1"/>
      <w:numFmt w:val="upperRoman"/>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2E41DD8"/>
    <w:multiLevelType w:val="hybridMultilevel"/>
    <w:tmpl w:val="056413C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5">
      <w:start w:val="1"/>
      <w:numFmt w:val="bullet"/>
      <w:lvlText w:val=""/>
      <w:lvlJc w:val="left"/>
      <w:pPr>
        <w:tabs>
          <w:tab w:val="num" w:pos="2880"/>
        </w:tabs>
        <w:ind w:left="2880" w:hanging="360"/>
      </w:pPr>
      <w:rPr>
        <w:rFonts w:ascii="Wingdings" w:hAnsi="Wingding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63255955"/>
    <w:multiLevelType w:val="hybridMultilevel"/>
    <w:tmpl w:val="BF387858"/>
    <w:lvl w:ilvl="0" w:tplc="0409000F">
      <w:start w:val="1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63DC4461"/>
    <w:multiLevelType w:val="multilevel"/>
    <w:tmpl w:val="23FCEEC2"/>
    <w:lvl w:ilvl="0">
      <w:start w:val="1"/>
      <w:numFmt w:val="upperRoman"/>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68C75AF5"/>
    <w:multiLevelType w:val="hybridMultilevel"/>
    <w:tmpl w:val="007E4E8A"/>
    <w:lvl w:ilvl="0" w:tplc="3B64BF08">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15:restartNumberingAfterBreak="0">
    <w:nsid w:val="6A522C31"/>
    <w:multiLevelType w:val="multilevel"/>
    <w:tmpl w:val="0636BF48"/>
    <w:lvl w:ilvl="0">
      <w:start w:val="1"/>
      <w:numFmt w:val="upperRoman"/>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6D2A201E"/>
    <w:multiLevelType w:val="hybridMultilevel"/>
    <w:tmpl w:val="80F6DD1E"/>
    <w:lvl w:ilvl="0" w:tplc="F7146AB8">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2EE739A"/>
    <w:multiLevelType w:val="multilevel"/>
    <w:tmpl w:val="56927326"/>
    <w:lvl w:ilvl="0">
      <w:start w:val="1"/>
      <w:numFmt w:val="upperRoman"/>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76625BBF"/>
    <w:multiLevelType w:val="hybridMultilevel"/>
    <w:tmpl w:val="941A2BFE"/>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01">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77AE2084"/>
    <w:multiLevelType w:val="hybridMultilevel"/>
    <w:tmpl w:val="64DCE1B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5">
      <w:start w:val="1"/>
      <w:numFmt w:val="bullet"/>
      <w:lvlText w:val=""/>
      <w:lvlJc w:val="left"/>
      <w:pPr>
        <w:tabs>
          <w:tab w:val="num" w:pos="2880"/>
        </w:tabs>
        <w:ind w:left="2880" w:hanging="360"/>
      </w:pPr>
      <w:rPr>
        <w:rFonts w:ascii="Wingdings" w:hAnsi="Wingding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789821AB"/>
    <w:multiLevelType w:val="hybridMultilevel"/>
    <w:tmpl w:val="B7689AB2"/>
    <w:lvl w:ilvl="0" w:tplc="C9FECC3C">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3" w15:restartNumberingAfterBreak="0">
    <w:nsid w:val="7A170E56"/>
    <w:multiLevelType w:val="hybridMultilevel"/>
    <w:tmpl w:val="52AAA474"/>
    <w:lvl w:ilvl="0" w:tplc="FAFC2792">
      <w:start w:val="2"/>
      <w:numFmt w:val="decimal"/>
      <w:lvlText w:val="%1."/>
      <w:lvlJc w:val="left"/>
      <w:pPr>
        <w:tabs>
          <w:tab w:val="num" w:pos="660"/>
        </w:tabs>
        <w:ind w:left="660" w:hanging="360"/>
      </w:pPr>
      <w:rPr>
        <w:rFonts w:hint="default"/>
      </w:rPr>
    </w:lvl>
    <w:lvl w:ilvl="1" w:tplc="0409000F">
      <w:start w:val="1"/>
      <w:numFmt w:val="decimal"/>
      <w:lvlText w:val="%2."/>
      <w:lvlJc w:val="left"/>
      <w:pPr>
        <w:tabs>
          <w:tab w:val="num" w:pos="1380"/>
        </w:tabs>
        <w:ind w:left="1380" w:hanging="360"/>
      </w:pPr>
    </w:lvl>
    <w:lvl w:ilvl="2" w:tplc="0409001B">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44" w15:restartNumberingAfterBreak="0">
    <w:nsid w:val="7A2F243A"/>
    <w:multiLevelType w:val="hybridMultilevel"/>
    <w:tmpl w:val="EEEC6230"/>
    <w:lvl w:ilvl="0" w:tplc="65F872E2">
      <w:start w:val="2"/>
      <w:numFmt w:val="lowerLetter"/>
      <w:lvlText w:val="%1."/>
      <w:lvlJc w:val="left"/>
      <w:pPr>
        <w:tabs>
          <w:tab w:val="num" w:pos="1440"/>
        </w:tabs>
        <w:ind w:left="1440" w:hanging="360"/>
      </w:pPr>
      <w:rPr>
        <w:rFonts w:hint="default"/>
      </w:rPr>
    </w:lvl>
    <w:lvl w:ilvl="1" w:tplc="66C64A8E">
      <w:start w:val="7"/>
      <w:numFmt w:val="decimal"/>
      <w:lvlText w:val="%2."/>
      <w:lvlJc w:val="left"/>
      <w:pPr>
        <w:tabs>
          <w:tab w:val="num" w:pos="2160"/>
        </w:tabs>
        <w:ind w:left="2160" w:hanging="360"/>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5" w15:restartNumberingAfterBreak="0">
    <w:nsid w:val="7A3649BD"/>
    <w:multiLevelType w:val="hybridMultilevel"/>
    <w:tmpl w:val="9D068C90"/>
    <w:lvl w:ilvl="0" w:tplc="F8489400">
      <w:start w:val="1"/>
      <w:numFmt w:val="decimal"/>
      <w:lvlText w:val="%1."/>
      <w:lvlJc w:val="left"/>
      <w:pPr>
        <w:ind w:left="1080" w:hanging="360"/>
      </w:pPr>
      <w:rPr>
        <w:rFonts w:hint="default"/>
        <w:strike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7BE424D2"/>
    <w:multiLevelType w:val="hybridMultilevel"/>
    <w:tmpl w:val="507E5DE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7E0901C9"/>
    <w:multiLevelType w:val="hybridMultilevel"/>
    <w:tmpl w:val="FF44A28C"/>
    <w:lvl w:ilvl="0" w:tplc="4B709998">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41"/>
  </w:num>
  <w:num w:numId="2">
    <w:abstractNumId w:val="19"/>
  </w:num>
  <w:num w:numId="3">
    <w:abstractNumId w:val="27"/>
  </w:num>
  <w:num w:numId="4">
    <w:abstractNumId w:val="1"/>
  </w:num>
  <w:num w:numId="5">
    <w:abstractNumId w:val="29"/>
  </w:num>
  <w:num w:numId="6">
    <w:abstractNumId w:val="46"/>
  </w:num>
  <w:num w:numId="7">
    <w:abstractNumId w:val="40"/>
  </w:num>
  <w:num w:numId="8">
    <w:abstractNumId w:val="47"/>
  </w:num>
  <w:num w:numId="9">
    <w:abstractNumId w:val="44"/>
  </w:num>
  <w:num w:numId="10">
    <w:abstractNumId w:val="42"/>
  </w:num>
  <w:num w:numId="11">
    <w:abstractNumId w:val="10"/>
  </w:num>
  <w:num w:numId="12">
    <w:abstractNumId w:val="16"/>
  </w:num>
  <w:num w:numId="13">
    <w:abstractNumId w:val="17"/>
  </w:num>
  <w:num w:numId="14">
    <w:abstractNumId w:val="43"/>
  </w:num>
  <w:num w:numId="15">
    <w:abstractNumId w:val="14"/>
  </w:num>
  <w:num w:numId="16">
    <w:abstractNumId w:val="11"/>
  </w:num>
  <w:num w:numId="17">
    <w:abstractNumId w:val="30"/>
  </w:num>
  <w:num w:numId="18">
    <w:abstractNumId w:val="34"/>
  </w:num>
  <w:num w:numId="19">
    <w:abstractNumId w:val="24"/>
  </w:num>
  <w:num w:numId="20">
    <w:abstractNumId w:val="26"/>
  </w:num>
  <w:num w:numId="21">
    <w:abstractNumId w:val="38"/>
  </w:num>
  <w:num w:numId="22">
    <w:abstractNumId w:val="31"/>
  </w:num>
  <w:num w:numId="23">
    <w:abstractNumId w:val="33"/>
  </w:num>
  <w:num w:numId="24">
    <w:abstractNumId w:val="5"/>
  </w:num>
  <w:num w:numId="25">
    <w:abstractNumId w:val="18"/>
  </w:num>
  <w:num w:numId="26">
    <w:abstractNumId w:val="12"/>
  </w:num>
  <w:num w:numId="2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
  </w:num>
  <w:num w:numId="29">
    <w:abstractNumId w:val="6"/>
  </w:num>
  <w:num w:numId="30">
    <w:abstractNumId w:val="4"/>
  </w:num>
  <w:num w:numId="31">
    <w:abstractNumId w:val="45"/>
  </w:num>
  <w:num w:numId="32">
    <w:abstractNumId w:val="13"/>
  </w:num>
  <w:num w:numId="33">
    <w:abstractNumId w:val="0"/>
  </w:num>
  <w:num w:numId="34">
    <w:abstractNumId w:val="8"/>
  </w:num>
  <w:num w:numId="35">
    <w:abstractNumId w:val="15"/>
  </w:num>
  <w:num w:numId="36">
    <w:abstractNumId w:val="23"/>
  </w:num>
  <w:num w:numId="37">
    <w:abstractNumId w:val="37"/>
  </w:num>
  <w:num w:numId="38">
    <w:abstractNumId w:val="25"/>
  </w:num>
  <w:num w:numId="39">
    <w:abstractNumId w:val="39"/>
  </w:num>
  <w:num w:numId="40">
    <w:abstractNumId w:val="2"/>
  </w:num>
  <w:num w:numId="41">
    <w:abstractNumId w:val="21"/>
  </w:num>
  <w:num w:numId="42">
    <w:abstractNumId w:val="22"/>
  </w:num>
  <w:num w:numId="43">
    <w:abstractNumId w:val="32"/>
  </w:num>
  <w:num w:numId="44">
    <w:abstractNumId w:val="7"/>
  </w:num>
  <w:num w:numId="45">
    <w:abstractNumId w:val="9"/>
  </w:num>
  <w:num w:numId="46">
    <w:abstractNumId w:val="20"/>
  </w:num>
  <w:num w:numId="47">
    <w:abstractNumId w:val="28"/>
  </w:num>
  <w:num w:numId="48">
    <w:abstractNumId w:val="3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1" w:cryptProviderType="rsaAES" w:cryptAlgorithmClass="hash" w:cryptAlgorithmType="typeAny" w:cryptAlgorithmSid="14" w:cryptSpinCount="100000" w:hash="MygFwpXpkC0z2uCLNQ2JsxumaksB8S4qZfqPPzxBjUYGbP3qTf1daDTZxKYyM/WtVuzqGt5bYijnjwf+S2hTdQ==" w:salt="h0hZoREmdCEmFdfZU9DdVQ=="/>
  <w:defaultTabStop w:val="720"/>
  <w:drawingGridHorizontalSpacing w:val="120"/>
  <w:displayHorizontalDrawingGridEvery w:val="2"/>
  <w:noPunctuationKerning/>
  <w:characterSpacingControl w:val="doNotCompress"/>
  <w:hdrShapeDefaults>
    <o:shapedefaults v:ext="edit" spidmax="2049">
      <o:colormru v:ext="edit" colors="#c00"/>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4B30"/>
    <w:rsid w:val="00002DB9"/>
    <w:rsid w:val="000117EF"/>
    <w:rsid w:val="0001587B"/>
    <w:rsid w:val="0002204C"/>
    <w:rsid w:val="00025C43"/>
    <w:rsid w:val="000344EE"/>
    <w:rsid w:val="00034FF1"/>
    <w:rsid w:val="00040919"/>
    <w:rsid w:val="00044A15"/>
    <w:rsid w:val="0005141E"/>
    <w:rsid w:val="00051984"/>
    <w:rsid w:val="00054B39"/>
    <w:rsid w:val="0005569E"/>
    <w:rsid w:val="0005755E"/>
    <w:rsid w:val="00066652"/>
    <w:rsid w:val="000742D7"/>
    <w:rsid w:val="00082507"/>
    <w:rsid w:val="00083CF2"/>
    <w:rsid w:val="00092240"/>
    <w:rsid w:val="000930B2"/>
    <w:rsid w:val="000943A4"/>
    <w:rsid w:val="000A3284"/>
    <w:rsid w:val="000A3D1C"/>
    <w:rsid w:val="000A4CA0"/>
    <w:rsid w:val="000A65C4"/>
    <w:rsid w:val="000C5385"/>
    <w:rsid w:val="000C7BB9"/>
    <w:rsid w:val="000D0AE8"/>
    <w:rsid w:val="000D1961"/>
    <w:rsid w:val="000D1A7A"/>
    <w:rsid w:val="000D5D19"/>
    <w:rsid w:val="000D7D7D"/>
    <w:rsid w:val="000E3C13"/>
    <w:rsid w:val="000E4A6E"/>
    <w:rsid w:val="000E54E6"/>
    <w:rsid w:val="000E6DF3"/>
    <w:rsid w:val="000E7026"/>
    <w:rsid w:val="000F6076"/>
    <w:rsid w:val="00100BB6"/>
    <w:rsid w:val="001011C2"/>
    <w:rsid w:val="00102C6C"/>
    <w:rsid w:val="0011008F"/>
    <w:rsid w:val="001109B8"/>
    <w:rsid w:val="001125E5"/>
    <w:rsid w:val="0011743B"/>
    <w:rsid w:val="00122160"/>
    <w:rsid w:val="00122342"/>
    <w:rsid w:val="001229F6"/>
    <w:rsid w:val="0012319A"/>
    <w:rsid w:val="00123A21"/>
    <w:rsid w:val="00125E21"/>
    <w:rsid w:val="00146ACC"/>
    <w:rsid w:val="00146FDF"/>
    <w:rsid w:val="001518A1"/>
    <w:rsid w:val="00151C37"/>
    <w:rsid w:val="00163022"/>
    <w:rsid w:val="00170706"/>
    <w:rsid w:val="00171650"/>
    <w:rsid w:val="00174BC7"/>
    <w:rsid w:val="00177101"/>
    <w:rsid w:val="00177645"/>
    <w:rsid w:val="00177858"/>
    <w:rsid w:val="0018269B"/>
    <w:rsid w:val="00183BC8"/>
    <w:rsid w:val="00185764"/>
    <w:rsid w:val="00186A15"/>
    <w:rsid w:val="001B16F9"/>
    <w:rsid w:val="001C25FB"/>
    <w:rsid w:val="001D0A03"/>
    <w:rsid w:val="001D0D21"/>
    <w:rsid w:val="001D0EB8"/>
    <w:rsid w:val="001D24F2"/>
    <w:rsid w:val="001D60B6"/>
    <w:rsid w:val="001E3743"/>
    <w:rsid w:val="001E3D23"/>
    <w:rsid w:val="001F7025"/>
    <w:rsid w:val="001F768C"/>
    <w:rsid w:val="002005A9"/>
    <w:rsid w:val="0020179A"/>
    <w:rsid w:val="00202E15"/>
    <w:rsid w:val="00205E69"/>
    <w:rsid w:val="00207393"/>
    <w:rsid w:val="00207D8A"/>
    <w:rsid w:val="00210D23"/>
    <w:rsid w:val="0023788F"/>
    <w:rsid w:val="00243922"/>
    <w:rsid w:val="00244D52"/>
    <w:rsid w:val="00251E73"/>
    <w:rsid w:val="002542A2"/>
    <w:rsid w:val="00254BA5"/>
    <w:rsid w:val="002554EF"/>
    <w:rsid w:val="00262E7E"/>
    <w:rsid w:val="00263FD2"/>
    <w:rsid w:val="0026500E"/>
    <w:rsid w:val="002664B0"/>
    <w:rsid w:val="002702FA"/>
    <w:rsid w:val="00272F72"/>
    <w:rsid w:val="002742B1"/>
    <w:rsid w:val="002771E9"/>
    <w:rsid w:val="00283491"/>
    <w:rsid w:val="00285271"/>
    <w:rsid w:val="00285D14"/>
    <w:rsid w:val="0028616C"/>
    <w:rsid w:val="002945A0"/>
    <w:rsid w:val="002956AB"/>
    <w:rsid w:val="00295E92"/>
    <w:rsid w:val="002A183D"/>
    <w:rsid w:val="002A3594"/>
    <w:rsid w:val="002A45EB"/>
    <w:rsid w:val="002A49FF"/>
    <w:rsid w:val="002B2C7C"/>
    <w:rsid w:val="002B54BB"/>
    <w:rsid w:val="002B6FF1"/>
    <w:rsid w:val="002C0134"/>
    <w:rsid w:val="002C6F64"/>
    <w:rsid w:val="002D396B"/>
    <w:rsid w:val="002E365A"/>
    <w:rsid w:val="002E59E6"/>
    <w:rsid w:val="002F0375"/>
    <w:rsid w:val="00301BD1"/>
    <w:rsid w:val="00301DDA"/>
    <w:rsid w:val="003021B6"/>
    <w:rsid w:val="00304E07"/>
    <w:rsid w:val="003151C5"/>
    <w:rsid w:val="003256F7"/>
    <w:rsid w:val="00325974"/>
    <w:rsid w:val="003467E8"/>
    <w:rsid w:val="00347989"/>
    <w:rsid w:val="003530ED"/>
    <w:rsid w:val="00354156"/>
    <w:rsid w:val="00354FB3"/>
    <w:rsid w:val="00366733"/>
    <w:rsid w:val="00366E12"/>
    <w:rsid w:val="00375315"/>
    <w:rsid w:val="0038010B"/>
    <w:rsid w:val="00380E5B"/>
    <w:rsid w:val="00383A8D"/>
    <w:rsid w:val="00385715"/>
    <w:rsid w:val="0039185B"/>
    <w:rsid w:val="00396EDF"/>
    <w:rsid w:val="003A0E25"/>
    <w:rsid w:val="003A7263"/>
    <w:rsid w:val="003A74E2"/>
    <w:rsid w:val="003B36CE"/>
    <w:rsid w:val="003C2B75"/>
    <w:rsid w:val="003C5D06"/>
    <w:rsid w:val="003C7515"/>
    <w:rsid w:val="003D2FDB"/>
    <w:rsid w:val="003E0BD4"/>
    <w:rsid w:val="003E2DD7"/>
    <w:rsid w:val="003E30CA"/>
    <w:rsid w:val="003E4B2F"/>
    <w:rsid w:val="003F11B6"/>
    <w:rsid w:val="003F175D"/>
    <w:rsid w:val="003F2DB3"/>
    <w:rsid w:val="004004F2"/>
    <w:rsid w:val="004016F2"/>
    <w:rsid w:val="00403159"/>
    <w:rsid w:val="00403207"/>
    <w:rsid w:val="004073CA"/>
    <w:rsid w:val="00414DB6"/>
    <w:rsid w:val="00421E95"/>
    <w:rsid w:val="004245AB"/>
    <w:rsid w:val="00426AF1"/>
    <w:rsid w:val="00427021"/>
    <w:rsid w:val="00441A90"/>
    <w:rsid w:val="00443985"/>
    <w:rsid w:val="00445EA8"/>
    <w:rsid w:val="00456A91"/>
    <w:rsid w:val="00461E96"/>
    <w:rsid w:val="00466146"/>
    <w:rsid w:val="00482BF7"/>
    <w:rsid w:val="004A24F1"/>
    <w:rsid w:val="004A33CF"/>
    <w:rsid w:val="004B4765"/>
    <w:rsid w:val="004B4D96"/>
    <w:rsid w:val="004C15AB"/>
    <w:rsid w:val="004C1BE5"/>
    <w:rsid w:val="004C7EFB"/>
    <w:rsid w:val="004D0576"/>
    <w:rsid w:val="004D2A86"/>
    <w:rsid w:val="004E14ED"/>
    <w:rsid w:val="004E2569"/>
    <w:rsid w:val="004E3FD8"/>
    <w:rsid w:val="004E5BA4"/>
    <w:rsid w:val="004F42FB"/>
    <w:rsid w:val="004F63EC"/>
    <w:rsid w:val="00500584"/>
    <w:rsid w:val="00502DFD"/>
    <w:rsid w:val="00527A75"/>
    <w:rsid w:val="00532AA9"/>
    <w:rsid w:val="005410B4"/>
    <w:rsid w:val="00542B5E"/>
    <w:rsid w:val="00545D1C"/>
    <w:rsid w:val="00546DC0"/>
    <w:rsid w:val="00550156"/>
    <w:rsid w:val="00551FAF"/>
    <w:rsid w:val="005520C8"/>
    <w:rsid w:val="00560CC3"/>
    <w:rsid w:val="005763C1"/>
    <w:rsid w:val="00591F81"/>
    <w:rsid w:val="005949FB"/>
    <w:rsid w:val="00597A37"/>
    <w:rsid w:val="005A3A3C"/>
    <w:rsid w:val="005A497D"/>
    <w:rsid w:val="005A4A92"/>
    <w:rsid w:val="005A7F7F"/>
    <w:rsid w:val="005B2137"/>
    <w:rsid w:val="005B5027"/>
    <w:rsid w:val="005C2CBE"/>
    <w:rsid w:val="005D290B"/>
    <w:rsid w:val="005D334D"/>
    <w:rsid w:val="005D593A"/>
    <w:rsid w:val="005D6020"/>
    <w:rsid w:val="005D7C13"/>
    <w:rsid w:val="005E0F04"/>
    <w:rsid w:val="005E5102"/>
    <w:rsid w:val="005E6DEF"/>
    <w:rsid w:val="005E7ED1"/>
    <w:rsid w:val="005F104F"/>
    <w:rsid w:val="005F351F"/>
    <w:rsid w:val="006042EB"/>
    <w:rsid w:val="00604A03"/>
    <w:rsid w:val="00616975"/>
    <w:rsid w:val="00617099"/>
    <w:rsid w:val="006314CA"/>
    <w:rsid w:val="00635ACC"/>
    <w:rsid w:val="00640227"/>
    <w:rsid w:val="00640364"/>
    <w:rsid w:val="006448E3"/>
    <w:rsid w:val="0065093B"/>
    <w:rsid w:val="00656B95"/>
    <w:rsid w:val="006640AA"/>
    <w:rsid w:val="00675C03"/>
    <w:rsid w:val="0068089A"/>
    <w:rsid w:val="00681BCC"/>
    <w:rsid w:val="00686010"/>
    <w:rsid w:val="0068792F"/>
    <w:rsid w:val="00690493"/>
    <w:rsid w:val="00695EA3"/>
    <w:rsid w:val="006960ED"/>
    <w:rsid w:val="00696E8F"/>
    <w:rsid w:val="006A2AC4"/>
    <w:rsid w:val="006A2DBF"/>
    <w:rsid w:val="006A4007"/>
    <w:rsid w:val="006B3B5F"/>
    <w:rsid w:val="006B7824"/>
    <w:rsid w:val="006C000E"/>
    <w:rsid w:val="006C2F83"/>
    <w:rsid w:val="006C5408"/>
    <w:rsid w:val="006D0124"/>
    <w:rsid w:val="006D2AF2"/>
    <w:rsid w:val="006D43AA"/>
    <w:rsid w:val="006D64D8"/>
    <w:rsid w:val="006D7D96"/>
    <w:rsid w:val="006E1145"/>
    <w:rsid w:val="006E1C23"/>
    <w:rsid w:val="006E7858"/>
    <w:rsid w:val="006F6044"/>
    <w:rsid w:val="006F66F4"/>
    <w:rsid w:val="00705AB3"/>
    <w:rsid w:val="00706A85"/>
    <w:rsid w:val="007072F3"/>
    <w:rsid w:val="00710E15"/>
    <w:rsid w:val="00712094"/>
    <w:rsid w:val="00715820"/>
    <w:rsid w:val="00715B31"/>
    <w:rsid w:val="00723046"/>
    <w:rsid w:val="00724867"/>
    <w:rsid w:val="007263D3"/>
    <w:rsid w:val="007301EF"/>
    <w:rsid w:val="00730EFC"/>
    <w:rsid w:val="007374C6"/>
    <w:rsid w:val="00740A08"/>
    <w:rsid w:val="00742E01"/>
    <w:rsid w:val="00746B6F"/>
    <w:rsid w:val="00747F86"/>
    <w:rsid w:val="00760B6B"/>
    <w:rsid w:val="00766F93"/>
    <w:rsid w:val="00777514"/>
    <w:rsid w:val="00782BEA"/>
    <w:rsid w:val="0078434F"/>
    <w:rsid w:val="00784A44"/>
    <w:rsid w:val="00790BB9"/>
    <w:rsid w:val="00792D0B"/>
    <w:rsid w:val="00792EE8"/>
    <w:rsid w:val="00797391"/>
    <w:rsid w:val="007A1EE0"/>
    <w:rsid w:val="007A222D"/>
    <w:rsid w:val="007A3387"/>
    <w:rsid w:val="007A5E15"/>
    <w:rsid w:val="007B293C"/>
    <w:rsid w:val="007B3BBD"/>
    <w:rsid w:val="007B56E9"/>
    <w:rsid w:val="007B5D05"/>
    <w:rsid w:val="007B65EB"/>
    <w:rsid w:val="007C50FF"/>
    <w:rsid w:val="007D240C"/>
    <w:rsid w:val="007D3DB4"/>
    <w:rsid w:val="007E26D1"/>
    <w:rsid w:val="007E48EC"/>
    <w:rsid w:val="007F3903"/>
    <w:rsid w:val="00802F19"/>
    <w:rsid w:val="00803974"/>
    <w:rsid w:val="008075DE"/>
    <w:rsid w:val="008076F2"/>
    <w:rsid w:val="008177C1"/>
    <w:rsid w:val="00824808"/>
    <w:rsid w:val="00825873"/>
    <w:rsid w:val="00847A48"/>
    <w:rsid w:val="0085106C"/>
    <w:rsid w:val="00854933"/>
    <w:rsid w:val="008633E4"/>
    <w:rsid w:val="00870677"/>
    <w:rsid w:val="008746D8"/>
    <w:rsid w:val="00875DB2"/>
    <w:rsid w:val="00877474"/>
    <w:rsid w:val="00884141"/>
    <w:rsid w:val="00891F46"/>
    <w:rsid w:val="00892246"/>
    <w:rsid w:val="00892C1B"/>
    <w:rsid w:val="0089770A"/>
    <w:rsid w:val="008B2153"/>
    <w:rsid w:val="008B5DDB"/>
    <w:rsid w:val="008C6180"/>
    <w:rsid w:val="008C6D0A"/>
    <w:rsid w:val="008E301D"/>
    <w:rsid w:val="008E514E"/>
    <w:rsid w:val="008F5D84"/>
    <w:rsid w:val="008F771C"/>
    <w:rsid w:val="00903951"/>
    <w:rsid w:val="00904988"/>
    <w:rsid w:val="00905057"/>
    <w:rsid w:val="00912B84"/>
    <w:rsid w:val="00912C39"/>
    <w:rsid w:val="009162CF"/>
    <w:rsid w:val="0092008A"/>
    <w:rsid w:val="009254BB"/>
    <w:rsid w:val="0093153D"/>
    <w:rsid w:val="00931AF3"/>
    <w:rsid w:val="00934AAD"/>
    <w:rsid w:val="009414B5"/>
    <w:rsid w:val="00941E41"/>
    <w:rsid w:val="009441F5"/>
    <w:rsid w:val="00944A44"/>
    <w:rsid w:val="0094712B"/>
    <w:rsid w:val="00950BB1"/>
    <w:rsid w:val="00960199"/>
    <w:rsid w:val="0096164F"/>
    <w:rsid w:val="009752E2"/>
    <w:rsid w:val="00977816"/>
    <w:rsid w:val="00977F1D"/>
    <w:rsid w:val="00981E85"/>
    <w:rsid w:val="0099316A"/>
    <w:rsid w:val="00994658"/>
    <w:rsid w:val="009956A1"/>
    <w:rsid w:val="00997D2E"/>
    <w:rsid w:val="009B5738"/>
    <w:rsid w:val="009B5A69"/>
    <w:rsid w:val="009C0215"/>
    <w:rsid w:val="009C4E81"/>
    <w:rsid w:val="009C60B1"/>
    <w:rsid w:val="009D20CF"/>
    <w:rsid w:val="009D4F4F"/>
    <w:rsid w:val="009D663A"/>
    <w:rsid w:val="009E1A74"/>
    <w:rsid w:val="009E30E3"/>
    <w:rsid w:val="009E5315"/>
    <w:rsid w:val="009E7BA4"/>
    <w:rsid w:val="009F5992"/>
    <w:rsid w:val="009F659F"/>
    <w:rsid w:val="009F7481"/>
    <w:rsid w:val="009F793A"/>
    <w:rsid w:val="00A14692"/>
    <w:rsid w:val="00A15574"/>
    <w:rsid w:val="00A1563E"/>
    <w:rsid w:val="00A15674"/>
    <w:rsid w:val="00A22161"/>
    <w:rsid w:val="00A23711"/>
    <w:rsid w:val="00A27F4E"/>
    <w:rsid w:val="00A27FF6"/>
    <w:rsid w:val="00A30752"/>
    <w:rsid w:val="00A30A51"/>
    <w:rsid w:val="00A334E3"/>
    <w:rsid w:val="00A34C09"/>
    <w:rsid w:val="00A42280"/>
    <w:rsid w:val="00A5129F"/>
    <w:rsid w:val="00A51BC0"/>
    <w:rsid w:val="00A5263A"/>
    <w:rsid w:val="00A56652"/>
    <w:rsid w:val="00A628C7"/>
    <w:rsid w:val="00A62A6D"/>
    <w:rsid w:val="00A62E8B"/>
    <w:rsid w:val="00A671B7"/>
    <w:rsid w:val="00A72117"/>
    <w:rsid w:val="00A75FAD"/>
    <w:rsid w:val="00A8115D"/>
    <w:rsid w:val="00A87786"/>
    <w:rsid w:val="00A90441"/>
    <w:rsid w:val="00A9700E"/>
    <w:rsid w:val="00AA5572"/>
    <w:rsid w:val="00AA6DE7"/>
    <w:rsid w:val="00AA78A7"/>
    <w:rsid w:val="00AC59B1"/>
    <w:rsid w:val="00AC70D7"/>
    <w:rsid w:val="00AE3DF6"/>
    <w:rsid w:val="00AF09A3"/>
    <w:rsid w:val="00AF65F5"/>
    <w:rsid w:val="00B03C47"/>
    <w:rsid w:val="00B03DBC"/>
    <w:rsid w:val="00B0557B"/>
    <w:rsid w:val="00B12E0C"/>
    <w:rsid w:val="00B16CC6"/>
    <w:rsid w:val="00B20FD3"/>
    <w:rsid w:val="00B23620"/>
    <w:rsid w:val="00B314C9"/>
    <w:rsid w:val="00B32DF5"/>
    <w:rsid w:val="00B33560"/>
    <w:rsid w:val="00B34023"/>
    <w:rsid w:val="00B34DF6"/>
    <w:rsid w:val="00B356B4"/>
    <w:rsid w:val="00B47707"/>
    <w:rsid w:val="00B521C8"/>
    <w:rsid w:val="00B53FF2"/>
    <w:rsid w:val="00B543E9"/>
    <w:rsid w:val="00B66D0D"/>
    <w:rsid w:val="00B70E8C"/>
    <w:rsid w:val="00B747A9"/>
    <w:rsid w:val="00B77ECA"/>
    <w:rsid w:val="00B93456"/>
    <w:rsid w:val="00B93AFE"/>
    <w:rsid w:val="00B95ED5"/>
    <w:rsid w:val="00B96D69"/>
    <w:rsid w:val="00B9790E"/>
    <w:rsid w:val="00BA15A6"/>
    <w:rsid w:val="00BA16DE"/>
    <w:rsid w:val="00BA61F9"/>
    <w:rsid w:val="00BB0914"/>
    <w:rsid w:val="00BB1A6E"/>
    <w:rsid w:val="00BB73A3"/>
    <w:rsid w:val="00BC4539"/>
    <w:rsid w:val="00BC6DF6"/>
    <w:rsid w:val="00BC6F8F"/>
    <w:rsid w:val="00BE0B0D"/>
    <w:rsid w:val="00BE16FA"/>
    <w:rsid w:val="00BE1ACC"/>
    <w:rsid w:val="00C0257C"/>
    <w:rsid w:val="00C13D8E"/>
    <w:rsid w:val="00C21627"/>
    <w:rsid w:val="00C2353D"/>
    <w:rsid w:val="00C237B3"/>
    <w:rsid w:val="00C256B5"/>
    <w:rsid w:val="00C276DF"/>
    <w:rsid w:val="00C31C91"/>
    <w:rsid w:val="00C3205C"/>
    <w:rsid w:val="00C60B36"/>
    <w:rsid w:val="00C62FBD"/>
    <w:rsid w:val="00C643ED"/>
    <w:rsid w:val="00C66714"/>
    <w:rsid w:val="00C71382"/>
    <w:rsid w:val="00C73218"/>
    <w:rsid w:val="00C74EFC"/>
    <w:rsid w:val="00C76255"/>
    <w:rsid w:val="00C82699"/>
    <w:rsid w:val="00C87C48"/>
    <w:rsid w:val="00C9271F"/>
    <w:rsid w:val="00C93873"/>
    <w:rsid w:val="00C94290"/>
    <w:rsid w:val="00CA10E3"/>
    <w:rsid w:val="00CA4E34"/>
    <w:rsid w:val="00CA73AB"/>
    <w:rsid w:val="00CA7E6E"/>
    <w:rsid w:val="00CB1630"/>
    <w:rsid w:val="00CB2384"/>
    <w:rsid w:val="00CB6F0B"/>
    <w:rsid w:val="00CB708B"/>
    <w:rsid w:val="00CC1544"/>
    <w:rsid w:val="00CC253A"/>
    <w:rsid w:val="00CC25BB"/>
    <w:rsid w:val="00CD50A9"/>
    <w:rsid w:val="00CD73D2"/>
    <w:rsid w:val="00CD73DF"/>
    <w:rsid w:val="00CE5C09"/>
    <w:rsid w:val="00CE5DF6"/>
    <w:rsid w:val="00CF10A2"/>
    <w:rsid w:val="00CF1DE8"/>
    <w:rsid w:val="00D0024B"/>
    <w:rsid w:val="00D00D67"/>
    <w:rsid w:val="00D033F5"/>
    <w:rsid w:val="00D04567"/>
    <w:rsid w:val="00D0612F"/>
    <w:rsid w:val="00D06E02"/>
    <w:rsid w:val="00D137B7"/>
    <w:rsid w:val="00D13998"/>
    <w:rsid w:val="00D1439D"/>
    <w:rsid w:val="00D16DF0"/>
    <w:rsid w:val="00D20661"/>
    <w:rsid w:val="00D30995"/>
    <w:rsid w:val="00D44F42"/>
    <w:rsid w:val="00D479C0"/>
    <w:rsid w:val="00D54A62"/>
    <w:rsid w:val="00D54D2F"/>
    <w:rsid w:val="00D568A8"/>
    <w:rsid w:val="00D57E91"/>
    <w:rsid w:val="00D70333"/>
    <w:rsid w:val="00D70354"/>
    <w:rsid w:val="00D711C3"/>
    <w:rsid w:val="00D73A5F"/>
    <w:rsid w:val="00D76AA4"/>
    <w:rsid w:val="00D8396E"/>
    <w:rsid w:val="00D8465B"/>
    <w:rsid w:val="00D852E7"/>
    <w:rsid w:val="00D95075"/>
    <w:rsid w:val="00D977A0"/>
    <w:rsid w:val="00DA0303"/>
    <w:rsid w:val="00DA1521"/>
    <w:rsid w:val="00DA3E06"/>
    <w:rsid w:val="00DB4992"/>
    <w:rsid w:val="00DB52E6"/>
    <w:rsid w:val="00DC6236"/>
    <w:rsid w:val="00DC7E22"/>
    <w:rsid w:val="00DD016F"/>
    <w:rsid w:val="00DD50F0"/>
    <w:rsid w:val="00DE0A3F"/>
    <w:rsid w:val="00DE0F82"/>
    <w:rsid w:val="00DE2C75"/>
    <w:rsid w:val="00DF20CF"/>
    <w:rsid w:val="00E00B0B"/>
    <w:rsid w:val="00E0161E"/>
    <w:rsid w:val="00E01A29"/>
    <w:rsid w:val="00E03E3D"/>
    <w:rsid w:val="00E10586"/>
    <w:rsid w:val="00E12A57"/>
    <w:rsid w:val="00E1606A"/>
    <w:rsid w:val="00E25E05"/>
    <w:rsid w:val="00E36117"/>
    <w:rsid w:val="00E36A55"/>
    <w:rsid w:val="00E42598"/>
    <w:rsid w:val="00E46982"/>
    <w:rsid w:val="00E5070B"/>
    <w:rsid w:val="00E50784"/>
    <w:rsid w:val="00E52E74"/>
    <w:rsid w:val="00E80494"/>
    <w:rsid w:val="00E82766"/>
    <w:rsid w:val="00E97203"/>
    <w:rsid w:val="00EA3912"/>
    <w:rsid w:val="00EA5C55"/>
    <w:rsid w:val="00EB28CB"/>
    <w:rsid w:val="00EB7CEF"/>
    <w:rsid w:val="00EC14BC"/>
    <w:rsid w:val="00EC17BF"/>
    <w:rsid w:val="00EC2367"/>
    <w:rsid w:val="00ED39D3"/>
    <w:rsid w:val="00ED66A4"/>
    <w:rsid w:val="00ED6BBB"/>
    <w:rsid w:val="00EE07C1"/>
    <w:rsid w:val="00EE0EB0"/>
    <w:rsid w:val="00EE14C7"/>
    <w:rsid w:val="00EE3694"/>
    <w:rsid w:val="00EF43FC"/>
    <w:rsid w:val="00EF57DD"/>
    <w:rsid w:val="00EF5959"/>
    <w:rsid w:val="00F0378B"/>
    <w:rsid w:val="00F119B9"/>
    <w:rsid w:val="00F128ED"/>
    <w:rsid w:val="00F12AFE"/>
    <w:rsid w:val="00F2425D"/>
    <w:rsid w:val="00F3105C"/>
    <w:rsid w:val="00F338FF"/>
    <w:rsid w:val="00F343F0"/>
    <w:rsid w:val="00F41C71"/>
    <w:rsid w:val="00F46DF5"/>
    <w:rsid w:val="00F52F3E"/>
    <w:rsid w:val="00F53ABA"/>
    <w:rsid w:val="00F54ED0"/>
    <w:rsid w:val="00F60E4B"/>
    <w:rsid w:val="00F625ED"/>
    <w:rsid w:val="00F659F7"/>
    <w:rsid w:val="00F65EE6"/>
    <w:rsid w:val="00F81267"/>
    <w:rsid w:val="00FA365A"/>
    <w:rsid w:val="00FB1B26"/>
    <w:rsid w:val="00FB42DB"/>
    <w:rsid w:val="00FB5662"/>
    <w:rsid w:val="00FC2FCB"/>
    <w:rsid w:val="00FC39BF"/>
    <w:rsid w:val="00FD7246"/>
    <w:rsid w:val="00FE0898"/>
    <w:rsid w:val="00FE2425"/>
    <w:rsid w:val="00FE4B30"/>
    <w:rsid w:val="00FE50FB"/>
    <w:rsid w:val="00FE738C"/>
    <w:rsid w:val="00FF7A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c00"/>
    </o:shapedefaults>
    <o:shapelayout v:ext="edit">
      <o:idmap v:ext="edit" data="1"/>
    </o:shapelayout>
  </w:shapeDefaults>
  <w:decimalSymbol w:val="."/>
  <w:listSeparator w:val=","/>
  <w14:docId w14:val="0461E8D2"/>
  <w15:docId w15:val="{49E4DEFD-CFA7-41ED-8DB4-73219E9EE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70333"/>
    <w:rPr>
      <w:sz w:val="24"/>
      <w:szCs w:val="24"/>
    </w:rPr>
  </w:style>
  <w:style w:type="paragraph" w:styleId="Heading1">
    <w:name w:val="heading 1"/>
    <w:basedOn w:val="Normal"/>
    <w:next w:val="Normal"/>
    <w:qFormat/>
    <w:rsid w:val="00427021"/>
    <w:pPr>
      <w:keepNext/>
      <w:outlineLvl w:val="0"/>
    </w:pPr>
    <w:rPr>
      <w:b/>
      <w:bCs/>
      <w:sz w:val="28"/>
    </w:rPr>
  </w:style>
  <w:style w:type="paragraph" w:styleId="Heading2">
    <w:name w:val="heading 2"/>
    <w:basedOn w:val="Normal"/>
    <w:next w:val="Normal"/>
    <w:qFormat/>
    <w:rsid w:val="00427021"/>
    <w:pPr>
      <w:keepNext/>
      <w:outlineLvl w:val="1"/>
    </w:pPr>
    <w:rPr>
      <w:sz w:val="28"/>
      <w:u w:val="single"/>
    </w:rPr>
  </w:style>
  <w:style w:type="paragraph" w:styleId="Heading3">
    <w:name w:val="heading 3"/>
    <w:basedOn w:val="Normal"/>
    <w:next w:val="Normal"/>
    <w:qFormat/>
    <w:rsid w:val="00427021"/>
    <w:pPr>
      <w:keepNext/>
      <w:outlineLvl w:val="2"/>
    </w:pPr>
    <w:rPr>
      <w:b/>
      <w:bCs/>
    </w:rPr>
  </w:style>
  <w:style w:type="paragraph" w:styleId="Heading4">
    <w:name w:val="heading 4"/>
    <w:basedOn w:val="Normal"/>
    <w:next w:val="Normal"/>
    <w:qFormat/>
    <w:rsid w:val="00427021"/>
    <w:pPr>
      <w:keepNext/>
      <w:outlineLvl w:val="3"/>
    </w:pPr>
    <w:rPr>
      <w:b/>
      <w:bCs/>
      <w:sz w:val="28"/>
      <w:u w:val="single"/>
    </w:rPr>
  </w:style>
  <w:style w:type="paragraph" w:styleId="Heading5">
    <w:name w:val="heading 5"/>
    <w:basedOn w:val="Normal"/>
    <w:next w:val="Normal"/>
    <w:qFormat/>
    <w:rsid w:val="00427021"/>
    <w:pPr>
      <w:keepNext/>
      <w:ind w:left="1440"/>
      <w:outlineLvl w:val="4"/>
    </w:pPr>
    <w:rPr>
      <w:u w:val="single"/>
    </w:rPr>
  </w:style>
  <w:style w:type="paragraph" w:styleId="Heading6">
    <w:name w:val="heading 6"/>
    <w:basedOn w:val="Normal"/>
    <w:next w:val="Normal"/>
    <w:qFormat/>
    <w:rsid w:val="00427021"/>
    <w:pPr>
      <w:keepNext/>
      <w:outlineLvl w:val="5"/>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427021"/>
    <w:pPr>
      <w:ind w:left="1080"/>
    </w:pPr>
  </w:style>
  <w:style w:type="paragraph" w:styleId="Header">
    <w:name w:val="header"/>
    <w:basedOn w:val="Normal"/>
    <w:link w:val="HeaderChar"/>
    <w:uiPriority w:val="99"/>
    <w:rsid w:val="00427021"/>
    <w:pPr>
      <w:tabs>
        <w:tab w:val="center" w:pos="4320"/>
        <w:tab w:val="right" w:pos="8640"/>
      </w:tabs>
    </w:pPr>
  </w:style>
  <w:style w:type="paragraph" w:styleId="Footer">
    <w:name w:val="footer"/>
    <w:basedOn w:val="Normal"/>
    <w:next w:val="NoSpacing"/>
    <w:link w:val="FooterChar"/>
    <w:uiPriority w:val="99"/>
    <w:rsid w:val="00427021"/>
    <w:pPr>
      <w:tabs>
        <w:tab w:val="center" w:pos="4320"/>
        <w:tab w:val="right" w:pos="8640"/>
      </w:tabs>
    </w:pPr>
  </w:style>
  <w:style w:type="paragraph" w:styleId="BodyTextIndent2">
    <w:name w:val="Body Text Indent 2"/>
    <w:basedOn w:val="Normal"/>
    <w:rsid w:val="00427021"/>
    <w:pPr>
      <w:ind w:left="1980"/>
    </w:pPr>
  </w:style>
  <w:style w:type="character" w:styleId="PageNumber">
    <w:name w:val="page number"/>
    <w:basedOn w:val="DefaultParagraphFont"/>
    <w:rsid w:val="00427021"/>
  </w:style>
  <w:style w:type="paragraph" w:styleId="BodyTextIndent3">
    <w:name w:val="Body Text Indent 3"/>
    <w:basedOn w:val="Normal"/>
    <w:rsid w:val="00427021"/>
    <w:pPr>
      <w:ind w:left="1440" w:hanging="360"/>
    </w:pPr>
  </w:style>
  <w:style w:type="character" w:styleId="Hyperlink">
    <w:name w:val="Hyperlink"/>
    <w:rsid w:val="00427021"/>
    <w:rPr>
      <w:color w:val="0000FF"/>
      <w:u w:val="single"/>
    </w:rPr>
  </w:style>
  <w:style w:type="character" w:styleId="FollowedHyperlink">
    <w:name w:val="FollowedHyperlink"/>
    <w:rsid w:val="00427021"/>
    <w:rPr>
      <w:color w:val="800080"/>
      <w:u w:val="single"/>
    </w:rPr>
  </w:style>
  <w:style w:type="paragraph" w:styleId="BodyText">
    <w:name w:val="Body Text"/>
    <w:basedOn w:val="Normal"/>
    <w:rsid w:val="00427021"/>
    <w:pPr>
      <w:jc w:val="both"/>
    </w:pPr>
    <w:rPr>
      <w:rFonts w:ascii="Bookman Old Style" w:hAnsi="Bookman Old Style"/>
    </w:rPr>
  </w:style>
  <w:style w:type="paragraph" w:styleId="EnvelopeReturn">
    <w:name w:val="envelope return"/>
    <w:basedOn w:val="Normal"/>
    <w:rsid w:val="00427021"/>
    <w:rPr>
      <w:rFonts w:ascii="Bookman Old Style" w:hAnsi="Bookman Old Style" w:cs="Arial"/>
      <w:sz w:val="20"/>
      <w:szCs w:val="20"/>
    </w:rPr>
  </w:style>
  <w:style w:type="paragraph" w:styleId="BodyText2">
    <w:name w:val="Body Text 2"/>
    <w:basedOn w:val="Normal"/>
    <w:rsid w:val="00427021"/>
    <w:rPr>
      <w:rFonts w:ascii="Bookman Old Style" w:hAnsi="Bookman Old Style"/>
      <w:color w:val="99CCFF"/>
      <w:sz w:val="10"/>
    </w:rPr>
  </w:style>
  <w:style w:type="paragraph" w:styleId="BodyText3">
    <w:name w:val="Body Text 3"/>
    <w:basedOn w:val="Normal"/>
    <w:rsid w:val="00427021"/>
    <w:pPr>
      <w:jc w:val="center"/>
    </w:pPr>
    <w:rPr>
      <w:rFonts w:ascii="Bookman Old Style" w:hAnsi="Bookman Old Style"/>
      <w:b/>
      <w:bCs/>
      <w:sz w:val="20"/>
    </w:rPr>
  </w:style>
  <w:style w:type="paragraph" w:styleId="ListParagraph">
    <w:name w:val="List Paragraph"/>
    <w:basedOn w:val="Normal"/>
    <w:uiPriority w:val="34"/>
    <w:qFormat/>
    <w:rsid w:val="00207393"/>
    <w:pPr>
      <w:spacing w:after="200"/>
      <w:ind w:left="720"/>
      <w:contextualSpacing/>
    </w:pPr>
    <w:rPr>
      <w:rFonts w:ascii="Calibri" w:eastAsia="Calibri" w:hAnsi="Calibri"/>
      <w:sz w:val="22"/>
      <w:szCs w:val="22"/>
    </w:rPr>
  </w:style>
  <w:style w:type="paragraph" w:styleId="BalloonText">
    <w:name w:val="Balloon Text"/>
    <w:basedOn w:val="Normal"/>
    <w:link w:val="BalloonTextChar"/>
    <w:rsid w:val="00207393"/>
    <w:rPr>
      <w:rFonts w:ascii="Tahoma" w:hAnsi="Tahoma" w:cs="Tahoma"/>
      <w:sz w:val="16"/>
      <w:szCs w:val="16"/>
    </w:rPr>
  </w:style>
  <w:style w:type="character" w:customStyle="1" w:styleId="BalloonTextChar">
    <w:name w:val="Balloon Text Char"/>
    <w:link w:val="BalloonText"/>
    <w:rsid w:val="00207393"/>
    <w:rPr>
      <w:rFonts w:ascii="Tahoma" w:hAnsi="Tahoma" w:cs="Tahoma"/>
      <w:sz w:val="16"/>
      <w:szCs w:val="16"/>
    </w:rPr>
  </w:style>
  <w:style w:type="table" w:styleId="TableGrid">
    <w:name w:val="Table Grid"/>
    <w:basedOn w:val="TableNormal"/>
    <w:uiPriority w:val="59"/>
    <w:rsid w:val="00054B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D0612F"/>
  </w:style>
  <w:style w:type="character" w:customStyle="1" w:styleId="HeaderChar">
    <w:name w:val="Header Char"/>
    <w:link w:val="Header"/>
    <w:uiPriority w:val="99"/>
    <w:rsid w:val="002F0375"/>
    <w:rPr>
      <w:sz w:val="24"/>
      <w:szCs w:val="24"/>
    </w:rPr>
  </w:style>
  <w:style w:type="paragraph" w:customStyle="1" w:styleId="3372873BB58A4DED866D2BE34882C06C">
    <w:name w:val="3372873BB58A4DED866D2BE34882C06C"/>
    <w:rsid w:val="002F0375"/>
    <w:pPr>
      <w:spacing w:after="200" w:line="276" w:lineRule="auto"/>
    </w:pPr>
    <w:rPr>
      <w:rFonts w:ascii="Calibri" w:eastAsia="MS Mincho" w:hAnsi="Calibri" w:cs="Arial"/>
      <w:sz w:val="22"/>
      <w:szCs w:val="22"/>
      <w:lang w:eastAsia="ja-JP"/>
    </w:rPr>
  </w:style>
  <w:style w:type="character" w:customStyle="1" w:styleId="FooterChar">
    <w:name w:val="Footer Char"/>
    <w:link w:val="Footer"/>
    <w:uiPriority w:val="99"/>
    <w:rsid w:val="00466146"/>
    <w:rPr>
      <w:sz w:val="24"/>
      <w:szCs w:val="24"/>
    </w:rPr>
  </w:style>
  <w:style w:type="character" w:styleId="CommentReference">
    <w:name w:val="annotation reference"/>
    <w:rsid w:val="00F659F7"/>
    <w:rPr>
      <w:sz w:val="16"/>
      <w:szCs w:val="16"/>
    </w:rPr>
  </w:style>
  <w:style w:type="paragraph" w:styleId="CommentText">
    <w:name w:val="annotation text"/>
    <w:basedOn w:val="Normal"/>
    <w:link w:val="CommentTextChar"/>
    <w:rsid w:val="00F659F7"/>
    <w:rPr>
      <w:sz w:val="20"/>
      <w:szCs w:val="20"/>
    </w:rPr>
  </w:style>
  <w:style w:type="character" w:customStyle="1" w:styleId="CommentTextChar">
    <w:name w:val="Comment Text Char"/>
    <w:basedOn w:val="DefaultParagraphFont"/>
    <w:link w:val="CommentText"/>
    <w:rsid w:val="00F659F7"/>
  </w:style>
  <w:style w:type="paragraph" w:styleId="CommentSubject">
    <w:name w:val="annotation subject"/>
    <w:basedOn w:val="CommentText"/>
    <w:next w:val="CommentText"/>
    <w:link w:val="CommentSubjectChar"/>
    <w:rsid w:val="00F659F7"/>
    <w:rPr>
      <w:b/>
      <w:bCs/>
    </w:rPr>
  </w:style>
  <w:style w:type="character" w:customStyle="1" w:styleId="CommentSubjectChar">
    <w:name w:val="Comment Subject Char"/>
    <w:link w:val="CommentSubject"/>
    <w:rsid w:val="00F659F7"/>
    <w:rPr>
      <w:b/>
      <w:bCs/>
    </w:rPr>
  </w:style>
  <w:style w:type="paragraph" w:styleId="NoSpacing">
    <w:name w:val="No Spacing"/>
    <w:uiPriority w:val="1"/>
    <w:qFormat/>
    <w:rsid w:val="00C643ED"/>
    <w:rPr>
      <w:sz w:val="24"/>
      <w:szCs w:val="24"/>
    </w:rPr>
  </w:style>
  <w:style w:type="character" w:styleId="PlaceholderText">
    <w:name w:val="Placeholder Text"/>
    <w:basedOn w:val="DefaultParagraphFont"/>
    <w:uiPriority w:val="99"/>
    <w:semiHidden/>
    <w:rsid w:val="00EE14C7"/>
    <w:rPr>
      <w:color w:val="808080"/>
    </w:rPr>
  </w:style>
  <w:style w:type="paragraph" w:customStyle="1" w:styleId="xmsonormal">
    <w:name w:val="x_msonormal"/>
    <w:basedOn w:val="Normal"/>
    <w:rsid w:val="00170706"/>
    <w:pPr>
      <w:spacing w:before="100" w:beforeAutospacing="1" w:after="100" w:afterAutospacing="1"/>
    </w:pPr>
  </w:style>
  <w:style w:type="paragraph" w:styleId="Caption">
    <w:name w:val="caption"/>
    <w:basedOn w:val="Normal"/>
    <w:next w:val="Normal"/>
    <w:unhideWhenUsed/>
    <w:qFormat/>
    <w:rsid w:val="00675C03"/>
    <w:pPr>
      <w:spacing w:after="200"/>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1685976">
      <w:bodyDiv w:val="1"/>
      <w:marLeft w:val="0"/>
      <w:marRight w:val="0"/>
      <w:marTop w:val="0"/>
      <w:marBottom w:val="0"/>
      <w:divBdr>
        <w:top w:val="none" w:sz="0" w:space="0" w:color="auto"/>
        <w:left w:val="none" w:sz="0" w:space="0" w:color="auto"/>
        <w:bottom w:val="none" w:sz="0" w:space="0" w:color="auto"/>
        <w:right w:val="none" w:sz="0" w:space="0" w:color="auto"/>
      </w:divBdr>
    </w:div>
    <w:div w:id="613563889">
      <w:bodyDiv w:val="1"/>
      <w:marLeft w:val="0"/>
      <w:marRight w:val="0"/>
      <w:marTop w:val="0"/>
      <w:marBottom w:val="0"/>
      <w:divBdr>
        <w:top w:val="none" w:sz="0" w:space="0" w:color="auto"/>
        <w:left w:val="none" w:sz="0" w:space="0" w:color="auto"/>
        <w:bottom w:val="none" w:sz="0" w:space="0" w:color="auto"/>
        <w:right w:val="none" w:sz="0" w:space="0" w:color="auto"/>
      </w:divBdr>
      <w:divsChild>
        <w:div w:id="11073897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08252661">
              <w:marLeft w:val="0"/>
              <w:marRight w:val="0"/>
              <w:marTop w:val="0"/>
              <w:marBottom w:val="0"/>
              <w:divBdr>
                <w:top w:val="none" w:sz="0" w:space="0" w:color="auto"/>
                <w:left w:val="none" w:sz="0" w:space="0" w:color="auto"/>
                <w:bottom w:val="none" w:sz="0" w:space="0" w:color="auto"/>
                <w:right w:val="none" w:sz="0" w:space="0" w:color="auto"/>
              </w:divBdr>
              <w:divsChild>
                <w:div w:id="544560201">
                  <w:marLeft w:val="0"/>
                  <w:marRight w:val="0"/>
                  <w:marTop w:val="0"/>
                  <w:marBottom w:val="0"/>
                  <w:divBdr>
                    <w:top w:val="none" w:sz="0" w:space="0" w:color="auto"/>
                    <w:left w:val="none" w:sz="0" w:space="0" w:color="auto"/>
                    <w:bottom w:val="none" w:sz="0" w:space="0" w:color="auto"/>
                    <w:right w:val="none" w:sz="0" w:space="0" w:color="auto"/>
                  </w:divBdr>
                  <w:divsChild>
                    <w:div w:id="121651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3403095">
      <w:bodyDiv w:val="1"/>
      <w:marLeft w:val="0"/>
      <w:marRight w:val="0"/>
      <w:marTop w:val="0"/>
      <w:marBottom w:val="0"/>
      <w:divBdr>
        <w:top w:val="none" w:sz="0" w:space="0" w:color="auto"/>
        <w:left w:val="none" w:sz="0" w:space="0" w:color="auto"/>
        <w:bottom w:val="none" w:sz="0" w:space="0" w:color="auto"/>
        <w:right w:val="none" w:sz="0" w:space="0" w:color="auto"/>
      </w:divBdr>
    </w:div>
    <w:div w:id="798492773">
      <w:bodyDiv w:val="1"/>
      <w:marLeft w:val="0"/>
      <w:marRight w:val="0"/>
      <w:marTop w:val="0"/>
      <w:marBottom w:val="0"/>
      <w:divBdr>
        <w:top w:val="none" w:sz="0" w:space="0" w:color="auto"/>
        <w:left w:val="none" w:sz="0" w:space="0" w:color="auto"/>
        <w:bottom w:val="none" w:sz="0" w:space="0" w:color="auto"/>
        <w:right w:val="none" w:sz="0" w:space="0" w:color="auto"/>
      </w:divBdr>
    </w:div>
    <w:div w:id="1764641639">
      <w:bodyDiv w:val="1"/>
      <w:marLeft w:val="0"/>
      <w:marRight w:val="0"/>
      <w:marTop w:val="0"/>
      <w:marBottom w:val="0"/>
      <w:divBdr>
        <w:top w:val="none" w:sz="0" w:space="0" w:color="auto"/>
        <w:left w:val="none" w:sz="0" w:space="0" w:color="auto"/>
        <w:bottom w:val="none" w:sz="0" w:space="0" w:color="auto"/>
        <w:right w:val="none" w:sz="0" w:space="0" w:color="auto"/>
      </w:divBdr>
    </w:div>
    <w:div w:id="2020616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4.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eamsChannelId xmlns="87c03cdd-cb60-40ba-8304-69bb9b343a64" xsi:nil="true"/>
    <Self_Registration_Enabled xmlns="87c03cdd-cb60-40ba-8304-69bb9b343a64" xsi:nil="true"/>
    <CultureName xmlns="87c03cdd-cb60-40ba-8304-69bb9b343a64" xsi:nil="true"/>
    <AppVersion xmlns="87c03cdd-cb60-40ba-8304-69bb9b343a64" xsi:nil="true"/>
    <Invited_Members xmlns="87c03cdd-cb60-40ba-8304-69bb9b343a64" xsi:nil="true"/>
    <Math_Settings xmlns="87c03cdd-cb60-40ba-8304-69bb9b343a64" xsi:nil="true"/>
    <Members xmlns="87c03cdd-cb60-40ba-8304-69bb9b343a64">
      <UserInfo>
        <DisplayName/>
        <AccountId xsi:nil="true"/>
        <AccountType/>
      </UserInfo>
    </Members>
    <Member_Groups xmlns="87c03cdd-cb60-40ba-8304-69bb9b343a64">
      <UserInfo>
        <DisplayName/>
        <AccountId xsi:nil="true"/>
        <AccountType/>
      </UserInfo>
    </Member_Groups>
    <Has_Leaders_Only_SectionGroup xmlns="87c03cdd-cb60-40ba-8304-69bb9b343a64" xsi:nil="true"/>
    <Owner xmlns="87c03cdd-cb60-40ba-8304-69bb9b343a64">
      <UserInfo>
        <DisplayName/>
        <AccountId xsi:nil="true"/>
        <AccountType/>
      </UserInfo>
    </Owner>
    <LMS_Mappings xmlns="87c03cdd-cb60-40ba-8304-69bb9b343a64" xsi:nil="true"/>
    <Is_Collaboration_Space_Locked xmlns="87c03cdd-cb60-40ba-8304-69bb9b343a64" xsi:nil="true"/>
    <NotebookType xmlns="87c03cdd-cb60-40ba-8304-69bb9b343a64" xsi:nil="true"/>
    <Leaders xmlns="87c03cdd-cb60-40ba-8304-69bb9b343a64">
      <UserInfo>
        <DisplayName/>
        <AccountId xsi:nil="true"/>
        <AccountType/>
      </UserInfo>
    </Leaders>
    <Distribution_Groups xmlns="87c03cdd-cb60-40ba-8304-69bb9b343a64" xsi:nil="true"/>
    <Invited_Leaders xmlns="87c03cdd-cb60-40ba-8304-69bb9b343a64" xsi:nil="true"/>
    <IsNotebookLocked xmlns="87c03cdd-cb60-40ba-8304-69bb9b343a64" xsi:nil="true"/>
    <DefaultSectionNames xmlns="87c03cdd-cb60-40ba-8304-69bb9b343a64" xsi:nil="true"/>
    <Templates xmlns="87c03cdd-cb60-40ba-8304-69bb9b343a64" xsi:nil="true"/>
    <FolderType xmlns="87c03cdd-cb60-40ba-8304-69bb9b343a64" xsi:nil="true"/>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02BE31A9DB36A468DAD2D7AFA40EF17" ma:contentTypeVersion="35" ma:contentTypeDescription="Create a new document." ma:contentTypeScope="" ma:versionID="7450f65ed330ab308892081a5f079024">
  <xsd:schema xmlns:xsd="http://www.w3.org/2001/XMLSchema" xmlns:xs="http://www.w3.org/2001/XMLSchema" xmlns:p="http://schemas.microsoft.com/office/2006/metadata/properties" xmlns:ns1="http://schemas.microsoft.com/sharepoint/v3" xmlns:ns2="87c03cdd-cb60-40ba-8304-69bb9b343a64" xmlns:ns3="ac907f40-6a18-4877-a0a9-95aafcda5187" targetNamespace="http://schemas.microsoft.com/office/2006/metadata/properties" ma:root="true" ma:fieldsID="4b955f6f7a4a150b193ae92a9bab9ad9" ns1:_="" ns2:_="" ns3:_="">
    <xsd:import namespace="http://schemas.microsoft.com/sharepoint/v3"/>
    <xsd:import namespace="87c03cdd-cb60-40ba-8304-69bb9b343a64"/>
    <xsd:import namespace="ac907f40-6a18-4877-a0a9-95aafcda5187"/>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41" nillable="true" ma:displayName="Unified Compliance Policy Properties" ma:hidden="true" ma:internalName="_ip_UnifiedCompliancePolicyProperties">
      <xsd:simpleType>
        <xsd:restriction base="dms:Note"/>
      </xsd:simpleType>
    </xsd:element>
    <xsd:element name="_ip_UnifiedCompliancePolicyUIAction" ma:index="4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7c03cdd-cb60-40ba-8304-69bb9b343a64"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Leaders" ma:index="22" nillable="true" ma:displayName="Invited Leaders" ma:internalName="Invited_Leaders">
      <xsd:simpleType>
        <xsd:restriction base="dms:Note">
          <xsd:maxLength value="255"/>
        </xsd:restriction>
      </xsd:simpleType>
    </xsd:element>
    <xsd:element name="Invited_Members" ma:index="23" nillable="true" ma:displayName="Invited Members" ma:internalName="Invited_Member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Leaders_Only_SectionGroup" ma:index="25" nillable="true" ma:displayName="Has Leaders Only SectionGroup" ma:internalName="Has_Leaders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ServiceAutoTags" ma:index="34" nillable="true" ma:displayName="Tags" ma:internalName="MediaServiceAutoTags" ma:readOnly="true">
      <xsd:simpleType>
        <xsd:restriction base="dms:Text"/>
      </xsd:simpleType>
    </xsd:element>
    <xsd:element name="MediaServiceOCR" ma:index="35" nillable="true" ma:displayName="Extracted Text" ma:internalName="MediaServiceOCR" ma:readOnly="true">
      <xsd:simpleType>
        <xsd:restriction base="dms:Note">
          <xsd:maxLength value="255"/>
        </xsd:restriction>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ServiceDateTaken" ma:index="4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907f40-6a18-4877-a0a9-95aafcda5187" elementFormDefault="qualified">
    <xsd:import namespace="http://schemas.microsoft.com/office/2006/documentManagement/types"/>
    <xsd:import namespace="http://schemas.microsoft.com/office/infopath/2007/PartnerControls"/>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87FB6D-4000-4E4C-ADF4-53952FB668BE}">
  <ds:schemaRefs>
    <ds:schemaRef ds:uri="http://schemas.microsoft.com/office/2006/metadata/properties"/>
    <ds:schemaRef ds:uri="http://schemas.microsoft.com/office/infopath/2007/PartnerControls"/>
    <ds:schemaRef ds:uri="87c03cdd-cb60-40ba-8304-69bb9b343a64"/>
    <ds:schemaRef ds:uri="http://schemas.microsoft.com/sharepoint/v3"/>
  </ds:schemaRefs>
</ds:datastoreItem>
</file>

<file path=customXml/itemProps2.xml><?xml version="1.0" encoding="utf-8"?>
<ds:datastoreItem xmlns:ds="http://schemas.openxmlformats.org/officeDocument/2006/customXml" ds:itemID="{3CFB4C4A-5B04-454D-B381-31247B0193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7c03cdd-cb60-40ba-8304-69bb9b343a64"/>
    <ds:schemaRef ds:uri="ac907f40-6a18-4877-a0a9-95aafcda51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C7AE3F5-5073-4D83-B8B0-38A91A826EE5}">
  <ds:schemaRefs>
    <ds:schemaRef ds:uri="http://schemas.microsoft.com/sharepoint/v3/contenttype/forms"/>
  </ds:schemaRefs>
</ds:datastoreItem>
</file>

<file path=customXml/itemProps4.xml><?xml version="1.0" encoding="utf-8"?>
<ds:datastoreItem xmlns:ds="http://schemas.openxmlformats.org/officeDocument/2006/customXml" ds:itemID="{887D56FC-74B3-4019-835A-EF1960255B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2850</Words>
  <Characters>16247</Characters>
  <Application>Microsoft Office Word</Application>
  <DocSecurity>8</DocSecurity>
  <Lines>135</Lines>
  <Paragraphs>38</Paragraphs>
  <ScaleCrop>false</ScaleCrop>
  <HeadingPairs>
    <vt:vector size="2" baseType="variant">
      <vt:variant>
        <vt:lpstr>Title</vt:lpstr>
      </vt:variant>
      <vt:variant>
        <vt:i4>1</vt:i4>
      </vt:variant>
    </vt:vector>
  </HeadingPairs>
  <TitlesOfParts>
    <vt:vector size="1" baseType="lpstr">
      <vt:lpstr>Policy Statement</vt:lpstr>
    </vt:vector>
  </TitlesOfParts>
  <Company>University of Louisiana at Lafayette</Company>
  <LinksUpToDate>false</LinksUpToDate>
  <CharactersWithSpaces>19059</CharactersWithSpaces>
  <SharedDoc>false</SharedDoc>
  <HLinks>
    <vt:vector size="72" baseType="variant">
      <vt:variant>
        <vt:i4>4718640</vt:i4>
      </vt:variant>
      <vt:variant>
        <vt:i4>84</vt:i4>
      </vt:variant>
      <vt:variant>
        <vt:i4>0</vt:i4>
      </vt:variant>
      <vt:variant>
        <vt:i4>5</vt:i4>
      </vt:variant>
      <vt:variant>
        <vt:lpwstr/>
      </vt:variant>
      <vt:variant>
        <vt:lpwstr>_XII._Revision_History</vt:lpwstr>
      </vt:variant>
      <vt:variant>
        <vt:i4>6553681</vt:i4>
      </vt:variant>
      <vt:variant>
        <vt:i4>81</vt:i4>
      </vt:variant>
      <vt:variant>
        <vt:i4>0</vt:i4>
      </vt:variant>
      <vt:variant>
        <vt:i4>5</vt:i4>
      </vt:variant>
      <vt:variant>
        <vt:lpwstr/>
      </vt:variant>
      <vt:variant>
        <vt:lpwstr>_XI._Appendices,_References</vt:lpwstr>
      </vt:variant>
      <vt:variant>
        <vt:i4>2359386</vt:i4>
      </vt:variant>
      <vt:variant>
        <vt:i4>78</vt:i4>
      </vt:variant>
      <vt:variant>
        <vt:i4>0</vt:i4>
      </vt:variant>
      <vt:variant>
        <vt:i4>5</vt:i4>
      </vt:variant>
      <vt:variant>
        <vt:lpwstr/>
      </vt:variant>
      <vt:variant>
        <vt:lpwstr>_X._Adoption_Date</vt:lpwstr>
      </vt:variant>
      <vt:variant>
        <vt:i4>3866695</vt:i4>
      </vt:variant>
      <vt:variant>
        <vt:i4>75</vt:i4>
      </vt:variant>
      <vt:variant>
        <vt:i4>0</vt:i4>
      </vt:variant>
      <vt:variant>
        <vt:i4>5</vt:i4>
      </vt:variant>
      <vt:variant>
        <vt:lpwstr/>
      </vt:variant>
      <vt:variant>
        <vt:lpwstr>_IX._Effective_Date</vt:lpwstr>
      </vt:variant>
      <vt:variant>
        <vt:i4>4521992</vt:i4>
      </vt:variant>
      <vt:variant>
        <vt:i4>72</vt:i4>
      </vt:variant>
      <vt:variant>
        <vt:i4>0</vt:i4>
      </vt:variant>
      <vt:variant>
        <vt:i4>5</vt:i4>
      </vt:variant>
      <vt:variant>
        <vt:lpwstr/>
      </vt:variant>
      <vt:variant>
        <vt:lpwstr>_VIII._Exclusions</vt:lpwstr>
      </vt:variant>
      <vt:variant>
        <vt:i4>5767224</vt:i4>
      </vt:variant>
      <vt:variant>
        <vt:i4>69</vt:i4>
      </vt:variant>
      <vt:variant>
        <vt:i4>0</vt:i4>
      </vt:variant>
      <vt:variant>
        <vt:i4>5</vt:i4>
      </vt:variant>
      <vt:variant>
        <vt:lpwstr/>
      </vt:variant>
      <vt:variant>
        <vt:lpwstr>_VII._Policy_Management</vt:lpwstr>
      </vt:variant>
      <vt:variant>
        <vt:i4>6094856</vt:i4>
      </vt:variant>
      <vt:variant>
        <vt:i4>66</vt:i4>
      </vt:variant>
      <vt:variant>
        <vt:i4>0</vt:i4>
      </vt:variant>
      <vt:variant>
        <vt:i4>5</vt:i4>
      </vt:variant>
      <vt:variant>
        <vt:lpwstr/>
      </vt:variant>
      <vt:variant>
        <vt:lpwstr>_VI._Enforcement</vt:lpwstr>
      </vt:variant>
      <vt:variant>
        <vt:i4>3932246</vt:i4>
      </vt:variant>
      <vt:variant>
        <vt:i4>63</vt:i4>
      </vt:variant>
      <vt:variant>
        <vt:i4>0</vt:i4>
      </vt:variant>
      <vt:variant>
        <vt:i4>5</vt:i4>
      </vt:variant>
      <vt:variant>
        <vt:lpwstr/>
      </vt:variant>
      <vt:variant>
        <vt:lpwstr>_V._Policy_Procedure</vt:lpwstr>
      </vt:variant>
      <vt:variant>
        <vt:i4>4390932</vt:i4>
      </vt:variant>
      <vt:variant>
        <vt:i4>60</vt:i4>
      </vt:variant>
      <vt:variant>
        <vt:i4>0</vt:i4>
      </vt:variant>
      <vt:variant>
        <vt:i4>5</vt:i4>
      </vt:variant>
      <vt:variant>
        <vt:lpwstr/>
      </vt:variant>
      <vt:variant>
        <vt:lpwstr>_IV._Definitions</vt:lpwstr>
      </vt:variant>
      <vt:variant>
        <vt:i4>5898241</vt:i4>
      </vt:variant>
      <vt:variant>
        <vt:i4>57</vt:i4>
      </vt:variant>
      <vt:variant>
        <vt:i4>0</vt:i4>
      </vt:variant>
      <vt:variant>
        <vt:i4>5</vt:i4>
      </vt:variant>
      <vt:variant>
        <vt:lpwstr/>
      </vt:variant>
      <vt:variant>
        <vt:lpwstr>_III._Applicability</vt:lpwstr>
      </vt:variant>
      <vt:variant>
        <vt:i4>2097216</vt:i4>
      </vt:variant>
      <vt:variant>
        <vt:i4>54</vt:i4>
      </vt:variant>
      <vt:variant>
        <vt:i4>0</vt:i4>
      </vt:variant>
      <vt:variant>
        <vt:i4>5</vt:i4>
      </vt:variant>
      <vt:variant>
        <vt:lpwstr/>
      </vt:variant>
      <vt:variant>
        <vt:lpwstr>_II._Purpose_of</vt:lpwstr>
      </vt:variant>
      <vt:variant>
        <vt:i4>3080274</vt:i4>
      </vt:variant>
      <vt:variant>
        <vt:i4>51</vt:i4>
      </vt:variant>
      <vt:variant>
        <vt:i4>0</vt:i4>
      </vt:variant>
      <vt:variant>
        <vt:i4>5</vt:i4>
      </vt:variant>
      <vt:variant>
        <vt:lpwstr/>
      </vt:variant>
      <vt:variant>
        <vt:lpwstr>_I._Policy_Statement</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Statement</dc:title>
  <dc:creator>landrum@ulm.edu</dc:creator>
  <cp:lastModifiedBy>Treina Kimble</cp:lastModifiedBy>
  <cp:revision>3</cp:revision>
  <cp:lastPrinted>2019-12-16T19:16:00Z</cp:lastPrinted>
  <dcterms:created xsi:type="dcterms:W3CDTF">2026-04-02T17:15:00Z</dcterms:created>
  <dcterms:modified xsi:type="dcterms:W3CDTF">2026-04-02T17:15:00Z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0x010100B02BE31A9DB36A468DAD2D7AFA40EF17</vt:lpwstr>
  </property>
  <property fmtid="{D5CDD505-2E9C-101B-9397-08002B2CF9AE}" pid="3" name="data-panorama-remediation-history">
    <vt:lpwstr>[{"pageNumber":0,"geomIndex":61,"lastGeomIndex":80,"textElement":"I.\tPolicy Statement","headingStructure":"h1","identifiers":{"PARAGRAPH_ID":"2"},"issueTypeId":"HeadingStructureNotOneIssue:DOCX","dismiss":false,"pageNumbers":[-1],"coordinatesList":[null]},{"pageNumber":0,"geomIndex":61,"textElement":"I.\tPolicy Statement","lastGeomIndex":79,"listFormat":"upper-roman","identifiers":{"PARAGRAPH_ID":"2"},"issueTypeId":"FormattedListIssue:DOCX","dismiss":false,"pageNumbers":[1],"coordinatesList":[[57.24399948120117,180.5999755859375,369.8360176086426,101.69997596740723]]},{"pageNumber":0,"geomIndex":850,"textElement":"II.\tPurpose of Policy","lastGeomIndex":869,"listFormat":"upper-roman","identifiers":{"PARAGRAPH_ID":"4"},"issueTypeId":"FormattedListIssue:DOCX","dismiss":false,"pageNumbers":[1],"coordinatesList":[[54.099998474121094,364.75,121.77605438232422,7.320000171661377]]},{"pageNumber":0,"geomIndex":1035,"textElement":"1) Provide funds as needed for operations of the University","lastGeomIndex":1085,"listFormat":"decimal","identifiers":{"PARAGRAPH_ID":"6"},"issueTypeId":"FormattedListIssue:DOCX","dismiss":false,"pageNumbers":[1],"coordinatesList":[[54.099998474121094,430.20001220703125,287.7720413208008,7.320000171661377]]},{"pageNumber":0,"geomIndex":2970,"textElement":"III.\tApplicability","lastGeomIndex":2988,"listFormat":"upper-roman","identifiers":{"PARAGRAPH_ID":"15"},"issueTypeId":"FormattedListIssue:DOCX","dismiss":false,"pageNumbers":[2],"coordinatesList":[[54.099998474121094,260.95001220703125,98.01599884033203,7.320000171661377]]},{"pageNumber":0,"geomIndex":3173,"textElement":"IV.\tDefinitions","lastGeomIndex":3188,"listFormat":"upper-roman","identifiers":{"PARAGRAPH_ID":"17"},"issueTypeId":"FormattedListIssue:DOCX","dismiss":false,"pageNumbers":[2],"coordinatesList":[[54.099998474121094,342.54998779296875,90.27600860595703,7.320000171661377]]},{"pageNumber":0,"geomIndex":4329,"textElement":"V.\tPolicy Procedure","lastGeomIndex":4347,"listFormat":"upper-roman","identifiers":{"PARAGRAPH_ID":"28"},"issueTypeId":"FormattedListIssue:DOCX","dismiss":false,"pageNumbers":[3],"coordinatesList":[[54.099998474121094,49.1500244140625,119.37601470947266,7.320000171661377]]},{"pageNumber":0,"geomIndex":10825,"textElement":"c.\tFederal Funds and State Grant Funds","lastGeomIndex":10857,"listFormat":"upper-alpha","identifiers":{"PARAGRAPH_ID":"87"},"issueTypeId":"FormattedListIssue:DOCX","dismiss":false,"pageNumbers":[5],"coordinatesList":[[72.0999984741211,566.4000244140625,197.55603790283203,7.320000171661377]]},{"pageNumber":0,"geomIndex":11670,"textElement":"2)\tIf no response from second notice, a telephone follow-up is initiated.","lastGeomIndex":11733,"listFormat":"decimal","identifiers":{"PARAGRAPH_ID":"97"},"issueTypeId":"FormattedListIssue:DOCX","dismiss":false,"pageNumbers":[6],"coordinatesList":[[108.0999984741211,141.95001220703125,353.7358169555664,7.320000171661377]]},{"pageNumber":0,"geomIndex":14619,"textElement":"VI.\tEnforcement","lastGeomIndex":14634,"listFormat":"upper-roman","identifiers":{"PARAGRAPH_ID":"117"},"issueTypeId":"FormattedListIssue:DOCX","dismiss":false,"pageNumbers":[7],"coordinatesList":[[54.099998474121094,224.95001220703125,100.18799591064453,7.320000171661377]]},{"pageNumber":0,"geomIndex":14708,"textElement":"VII.\tPolicy Management","lastGeomIndex":14729,"listFormat":"upper-roman","identifiers":{"PARAGRAPH_ID":"119"},"issueTypeId":"FormattedListIssue:DOCX","dismiss":false,"pageNumbers":[7],"coordinatesList":[[54.099998474121094,275.25,134.90401458740234,7.320000171661377]]},{"pageNumber":0,"geomIndex":14969,"textElement":"VIII.\tExclusions","lastGeomIndex":14985,"listFormat":"upper-roman","identifiers":{"PARAGRAPH_ID":"121"},"issueTypeId":"FormattedListIssue:DOCX","dismiss":false,"pageNumbers":[7],"coordinatesList":[[54.099998474121094,354.8500061035156,87.12000274658203,7.320000171661377]]},{"pageNumber":0,"geomIndex":15096,"textElement":"IX.\tEffective Date","lastGeomIndex":15113,"listFormat":"upper-roman","identifiers":{"PARAGRAPH_ID":"123"},"issueTypeId":"FormattedListIssue:DOCX","dismiss":false,"pageNumbers":[7],"coordinatesList":[[54.099998474121094,421.79998779296875,105.18000030517578,7.320000171661377]]},{"pageNumber":0,"geomIndex":15239,"textElement":"X. \tAdoption","lastGeomIndex":15250,"listFormat":"upper-roman","identifiers":{"PARAGRAPH_ID":"125"},"issueTypeId":"FormattedListIssue:DOCX","dismiss":false,"pageNumbers":[7],"coordinatesList":[[54.099998474121094,488.75,82.4520034790039,7.320000171661377]]},{"pageNumber":0,"geomIndex":15468,"textElement":"XI.\tAppendices, References and Related Materials","lastGeomIndex":15511,"listFormat":"upper-roman","identifiers":{"PARAGRAPH_ID":"133"},"issueTypeId":"FormattedListIssue:DOCX","dismiss":false,"pageNumbers":[7],"coordinatesList":[[54.099998474121094,637.75,267.3360366821289,7.320000171661377]]},{"pageNumber":0,"geomIndex":15514,"textElement":"XII.\tRevision History","lastGeomIndex":15534,"listFormat":"upper-roman","identifiers":{"PARAGRAPH_ID":"135"},"issueTypeId":"FormattedListIssue:DOCX","dismiss":false,"pageNumbers":[7],"coordinatesList":[[54.099998474121094,688.0499877929688,116.47200775146484,7.320000171661377]]}]</vt:lpwstr>
  </property>
</Properties>
</file>