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151C5" w:rsidRPr="00CD73D2" w:rsidRDefault="003151C5" w:rsidP="00BC6F8F">
      <w:pPr>
        <w:jc w:val="both"/>
      </w:pPr>
    </w:p>
    <w:p w14:paraId="79B8BCCE" w14:textId="3EA6C2F0" w:rsidR="00861A4C" w:rsidRDefault="00861A4C" w:rsidP="00861A4C">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57"/>
        <w:gridCol w:w="4310"/>
        <w:gridCol w:w="4781"/>
      </w:tblGrid>
      <w:tr w:rsidR="00EB28CB" w:rsidRPr="00065E93" w14:paraId="69CE0B5E" w14:textId="77777777" w:rsidTr="00861A4C">
        <w:trPr>
          <w:trHeight w:val="1953"/>
        </w:trPr>
        <w:tc>
          <w:tcPr>
            <w:tcW w:w="2357" w:type="dxa"/>
            <w:shd w:val="clear" w:color="auto" w:fill="auto"/>
          </w:tcPr>
          <w:p w14:paraId="69D66C2E" w14:textId="77777777" w:rsidR="003151C5" w:rsidRPr="003151C5" w:rsidRDefault="00EB28CB" w:rsidP="003151C5">
            <w:pPr>
              <w:ind w:right="-112"/>
              <w:jc w:val="center"/>
            </w:pPr>
            <w:r>
              <w:rPr>
                <w:noProof/>
              </w:rPr>
              <w:drawing>
                <wp:inline distT="0" distB="0" distL="0" distR="0" wp14:anchorId="23334AA5" wp14:editId="1E9144BC">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310" w:type="dxa"/>
            <w:shd w:val="clear" w:color="auto" w:fill="auto"/>
            <w:vAlign w:val="center"/>
          </w:tcPr>
          <w:p w14:paraId="16607923" w14:textId="00F534E2" w:rsidR="003151C5" w:rsidRPr="00B473E3" w:rsidRDefault="00B473E3" w:rsidP="00B473E3">
            <w:pPr>
              <w:spacing w:line="259" w:lineRule="auto"/>
              <w:jc w:val="center"/>
              <w:rPr>
                <w:rFonts w:asciiTheme="minorHAnsi" w:hAnsiTheme="minorHAnsi"/>
                <w:iCs/>
              </w:rPr>
            </w:pPr>
            <w:r>
              <w:rPr>
                <w:rFonts w:asciiTheme="minorHAnsi" w:hAnsiTheme="minorHAnsi"/>
                <w:b/>
                <w:bCs/>
                <w:iCs/>
                <w:sz w:val="32"/>
                <w:szCs w:val="32"/>
              </w:rPr>
              <w:t>Student Activity Enhancement Fee Policy</w:t>
            </w:r>
          </w:p>
        </w:tc>
        <w:tc>
          <w:tcPr>
            <w:tcW w:w="4781" w:type="dxa"/>
            <w:shd w:val="clear" w:color="auto" w:fill="auto"/>
            <w:vAlign w:val="center"/>
          </w:tcPr>
          <w:tbl>
            <w:tblPr>
              <w:tblpPr w:leftFromText="187" w:rightFromText="187" w:vertAnchor="text" w:horzAnchor="page" w:tblpX="635" w:tblpY="-1741"/>
              <w:tblOverlap w:val="never"/>
              <w:tblW w:w="45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4"/>
              <w:gridCol w:w="2171"/>
            </w:tblGrid>
            <w:tr w:rsidR="000D5D19" w:rsidRPr="00517994" w14:paraId="1F7F0DF1" w14:textId="77777777" w:rsidTr="00771325">
              <w:trPr>
                <w:trHeight w:val="273"/>
              </w:trPr>
              <w:tc>
                <w:tcPr>
                  <w:tcW w:w="2384" w:type="dxa"/>
                  <w:shd w:val="clear" w:color="auto" w:fill="auto"/>
                  <w:tcMar>
                    <w:left w:w="86" w:type="dxa"/>
                    <w:right w:w="29" w:type="dxa"/>
                  </w:tcMar>
                  <w:vAlign w:val="bottom"/>
                </w:tcPr>
                <w:p w14:paraId="3556A62E"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171" w:type="dxa"/>
                  <w:shd w:val="clear" w:color="auto" w:fill="auto"/>
                  <w:vAlign w:val="bottom"/>
                </w:tcPr>
                <w:p w14:paraId="0A37501D" w14:textId="5865B8A3" w:rsidR="000D5D19" w:rsidRPr="00517994" w:rsidRDefault="00F25F63" w:rsidP="000D5D19">
                  <w:pPr>
                    <w:rPr>
                      <w:rFonts w:asciiTheme="minorHAnsi" w:hAnsiTheme="minorHAnsi"/>
                      <w:bCs/>
                      <w:sz w:val="20"/>
                      <w:szCs w:val="20"/>
                    </w:rPr>
                  </w:pPr>
                  <w:r>
                    <w:rPr>
                      <w:rFonts w:asciiTheme="minorHAnsi" w:hAnsiTheme="minorHAnsi"/>
                      <w:bCs/>
                      <w:sz w:val="20"/>
                      <w:szCs w:val="20"/>
                    </w:rPr>
                    <w:t>SA006.1</w:t>
                  </w:r>
                </w:p>
              </w:tc>
            </w:tr>
            <w:tr w:rsidR="000D5D19" w:rsidRPr="00517994" w14:paraId="2AB30AF6" w14:textId="77777777" w:rsidTr="00771325">
              <w:trPr>
                <w:trHeight w:val="252"/>
              </w:trPr>
              <w:tc>
                <w:tcPr>
                  <w:tcW w:w="2384" w:type="dxa"/>
                  <w:shd w:val="clear" w:color="auto" w:fill="auto"/>
                  <w:tcMar>
                    <w:left w:w="86" w:type="dxa"/>
                    <w:right w:w="29" w:type="dxa"/>
                  </w:tcMar>
                  <w:vAlign w:val="bottom"/>
                </w:tcPr>
                <w:p w14:paraId="74C01C86"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171" w:type="dxa"/>
                  <w:shd w:val="clear" w:color="auto" w:fill="auto"/>
                  <w:vAlign w:val="bottom"/>
                </w:tcPr>
                <w:p w14:paraId="5DAB6C7B" w14:textId="5A561F3A" w:rsidR="000D5D19" w:rsidRPr="00517994" w:rsidRDefault="00F25F63"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2258A4CC" w14:textId="77777777" w:rsidTr="00771325">
              <w:trPr>
                <w:trHeight w:val="241"/>
              </w:trPr>
              <w:tc>
                <w:tcPr>
                  <w:tcW w:w="2384" w:type="dxa"/>
                  <w:tcBorders>
                    <w:top w:val="nil"/>
                    <w:bottom w:val="nil"/>
                  </w:tcBorders>
                  <w:shd w:val="clear" w:color="auto" w:fill="auto"/>
                  <w:tcMar>
                    <w:left w:w="86" w:type="dxa"/>
                    <w:right w:w="29" w:type="dxa"/>
                  </w:tcMar>
                </w:tcPr>
                <w:p w14:paraId="11B003EB"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171" w:type="dxa"/>
                  <w:tcBorders>
                    <w:top w:val="nil"/>
                    <w:bottom w:val="nil"/>
                  </w:tcBorders>
                  <w:shd w:val="clear" w:color="auto" w:fill="auto"/>
                </w:tcPr>
                <w:p w14:paraId="02EB378F" w14:textId="222E1597" w:rsidR="000D5D19" w:rsidRPr="00517994" w:rsidRDefault="00F25F63" w:rsidP="000D5D19">
                  <w:pPr>
                    <w:widowControl w:val="0"/>
                    <w:rPr>
                      <w:rFonts w:asciiTheme="minorHAnsi" w:hAnsiTheme="minorHAnsi"/>
                      <w:bCs/>
                      <w:sz w:val="20"/>
                      <w:szCs w:val="20"/>
                    </w:rPr>
                  </w:pPr>
                  <w:r>
                    <w:rPr>
                      <w:rFonts w:asciiTheme="minorHAnsi" w:hAnsiTheme="minorHAnsi"/>
                      <w:bCs/>
                      <w:sz w:val="20"/>
                      <w:szCs w:val="20"/>
                    </w:rPr>
                    <w:t>VP for Student Affairs</w:t>
                  </w:r>
                </w:p>
              </w:tc>
            </w:tr>
            <w:tr w:rsidR="000D5D19" w:rsidRPr="00517994" w14:paraId="544E2359" w14:textId="77777777" w:rsidTr="00771325">
              <w:trPr>
                <w:trHeight w:val="273"/>
              </w:trPr>
              <w:tc>
                <w:tcPr>
                  <w:tcW w:w="2384" w:type="dxa"/>
                  <w:tcBorders>
                    <w:top w:val="nil"/>
                    <w:bottom w:val="nil"/>
                  </w:tcBorders>
                  <w:shd w:val="clear" w:color="auto" w:fill="auto"/>
                  <w:tcMar>
                    <w:left w:w="86" w:type="dxa"/>
                    <w:right w:w="29" w:type="dxa"/>
                  </w:tcMar>
                  <w:vAlign w:val="bottom"/>
                </w:tcPr>
                <w:p w14:paraId="60D43C6D"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171" w:type="dxa"/>
                  <w:tcBorders>
                    <w:top w:val="nil"/>
                    <w:bottom w:val="nil"/>
                  </w:tcBorders>
                  <w:shd w:val="clear" w:color="auto" w:fill="auto"/>
                  <w:vAlign w:val="bottom"/>
                </w:tcPr>
                <w:p w14:paraId="6A05A809" w14:textId="5DE3F391" w:rsidR="000D5D19" w:rsidRPr="00250889" w:rsidRDefault="00771325" w:rsidP="000D5D19">
                  <w:pPr>
                    <w:rPr>
                      <w:rFonts w:asciiTheme="minorHAnsi" w:hAnsiTheme="minorHAnsi"/>
                      <w:bCs/>
                      <w:sz w:val="20"/>
                      <w:szCs w:val="20"/>
                    </w:rPr>
                  </w:pPr>
                  <w:r w:rsidRPr="00250889">
                    <w:rPr>
                      <w:rFonts w:asciiTheme="minorHAnsi" w:hAnsiTheme="minorHAnsi"/>
                      <w:bCs/>
                      <w:sz w:val="20"/>
                      <w:szCs w:val="20"/>
                    </w:rPr>
                    <w:t>Career &amp; Student Dev</w:t>
                  </w:r>
                </w:p>
              </w:tc>
            </w:tr>
            <w:tr w:rsidR="000D5D19" w:rsidRPr="00517994" w14:paraId="52ED8C5D" w14:textId="77777777" w:rsidTr="00771325">
              <w:trPr>
                <w:trHeight w:val="273"/>
              </w:trPr>
              <w:tc>
                <w:tcPr>
                  <w:tcW w:w="2384" w:type="dxa"/>
                  <w:tcBorders>
                    <w:top w:val="nil"/>
                  </w:tcBorders>
                  <w:shd w:val="clear" w:color="auto" w:fill="auto"/>
                  <w:tcMar>
                    <w:left w:w="86" w:type="dxa"/>
                    <w:right w:w="29" w:type="dxa"/>
                  </w:tcMar>
                  <w:vAlign w:val="bottom"/>
                </w:tcPr>
                <w:p w14:paraId="4EB1E576"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171" w:type="dxa"/>
                  <w:tcBorders>
                    <w:top w:val="nil"/>
                  </w:tcBorders>
                  <w:shd w:val="clear" w:color="auto" w:fill="auto"/>
                  <w:vAlign w:val="bottom"/>
                </w:tcPr>
                <w:p w14:paraId="5A39BBE3" w14:textId="159BF93A" w:rsidR="000D5D19" w:rsidRPr="00517994" w:rsidRDefault="00206E7D" w:rsidP="000D5D19">
                  <w:pPr>
                    <w:rPr>
                      <w:rFonts w:asciiTheme="minorHAnsi" w:hAnsiTheme="minorHAnsi"/>
                      <w:bCs/>
                      <w:sz w:val="20"/>
                      <w:szCs w:val="20"/>
                    </w:rPr>
                  </w:pPr>
                  <w:r>
                    <w:rPr>
                      <w:rFonts w:asciiTheme="minorHAnsi" w:hAnsiTheme="minorHAnsi"/>
                      <w:bCs/>
                      <w:sz w:val="20"/>
                      <w:szCs w:val="20"/>
                    </w:rPr>
                    <w:t>August 8, 2020</w:t>
                  </w:r>
                </w:p>
              </w:tc>
            </w:tr>
            <w:tr w:rsidR="000D5D19" w:rsidRPr="00517994" w14:paraId="48D81437" w14:textId="77777777" w:rsidTr="00771325">
              <w:trPr>
                <w:trHeight w:val="273"/>
              </w:trPr>
              <w:tc>
                <w:tcPr>
                  <w:tcW w:w="2384" w:type="dxa"/>
                  <w:shd w:val="clear" w:color="auto" w:fill="auto"/>
                  <w:tcMar>
                    <w:left w:w="86" w:type="dxa"/>
                    <w:right w:w="29" w:type="dxa"/>
                  </w:tcMar>
                  <w:vAlign w:val="bottom"/>
                </w:tcPr>
                <w:p w14:paraId="64BF0614"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171" w:type="dxa"/>
                  <w:shd w:val="clear" w:color="auto" w:fill="auto"/>
                  <w:vAlign w:val="bottom"/>
                </w:tcPr>
                <w:p w14:paraId="41C8F396" w14:textId="34491E76" w:rsidR="000D5D19" w:rsidRPr="00517994" w:rsidRDefault="00250889" w:rsidP="000D5D19">
                  <w:pPr>
                    <w:tabs>
                      <w:tab w:val="left" w:pos="1867"/>
                    </w:tabs>
                    <w:ind w:right="-853"/>
                    <w:rPr>
                      <w:rFonts w:asciiTheme="minorHAnsi" w:hAnsiTheme="minorHAnsi"/>
                      <w:bCs/>
                      <w:sz w:val="20"/>
                      <w:szCs w:val="20"/>
                    </w:rPr>
                  </w:pPr>
                  <w:r>
                    <w:rPr>
                      <w:rFonts w:asciiTheme="minorHAnsi" w:hAnsiTheme="minorHAnsi"/>
                      <w:bCs/>
                      <w:sz w:val="20"/>
                      <w:szCs w:val="20"/>
                    </w:rPr>
                    <w:t>February 12, 2025</w:t>
                  </w:r>
                </w:p>
              </w:tc>
            </w:tr>
            <w:tr w:rsidR="000D5D19" w:rsidRPr="00517994" w14:paraId="700F2D74" w14:textId="77777777" w:rsidTr="00771325">
              <w:trPr>
                <w:trHeight w:val="273"/>
              </w:trPr>
              <w:tc>
                <w:tcPr>
                  <w:tcW w:w="2384" w:type="dxa"/>
                  <w:shd w:val="clear" w:color="auto" w:fill="auto"/>
                  <w:tcMar>
                    <w:left w:w="86" w:type="dxa"/>
                    <w:right w:w="29" w:type="dxa"/>
                  </w:tcMar>
                  <w:vAlign w:val="bottom"/>
                </w:tcPr>
                <w:p w14:paraId="0DEBDC72"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171" w:type="dxa"/>
                  <w:shd w:val="clear" w:color="auto" w:fill="auto"/>
                  <w:vAlign w:val="bottom"/>
                </w:tcPr>
                <w:p w14:paraId="72A3D3EC" w14:textId="0C3B6D34" w:rsidR="000D5D19" w:rsidRPr="00517994" w:rsidRDefault="00250889" w:rsidP="000D5D19">
                  <w:pPr>
                    <w:tabs>
                      <w:tab w:val="left" w:pos="1867"/>
                    </w:tabs>
                    <w:ind w:right="-853"/>
                    <w:rPr>
                      <w:rFonts w:asciiTheme="minorHAnsi" w:hAnsiTheme="minorHAnsi"/>
                      <w:bCs/>
                      <w:sz w:val="20"/>
                      <w:szCs w:val="20"/>
                    </w:rPr>
                  </w:pPr>
                  <w:r>
                    <w:rPr>
                      <w:rFonts w:asciiTheme="minorHAnsi" w:hAnsiTheme="minorHAnsi"/>
                      <w:bCs/>
                      <w:sz w:val="20"/>
                      <w:szCs w:val="20"/>
                    </w:rPr>
                    <w:t>February 12, 2025</w:t>
                  </w:r>
                </w:p>
              </w:tc>
            </w:tr>
          </w:tbl>
          <w:p w14:paraId="0D0B940D" w14:textId="77777777" w:rsidR="003151C5" w:rsidRPr="006F6044" w:rsidRDefault="003151C5" w:rsidP="003151C5">
            <w:pPr>
              <w:rPr>
                <w:rFonts w:asciiTheme="minorHAnsi" w:hAnsiTheme="minorHAnsi"/>
                <w:b/>
                <w:sz w:val="20"/>
              </w:rPr>
            </w:pPr>
          </w:p>
        </w:tc>
      </w:tr>
    </w:tbl>
    <w:p w14:paraId="798D1584" w14:textId="77777777" w:rsidR="001518A1" w:rsidRPr="00D70333" w:rsidRDefault="001518A1" w:rsidP="00DB4992">
      <w:pPr>
        <w:pStyle w:val="Heading1"/>
        <w:numPr>
          <w:ilvl w:val="0"/>
          <w:numId w:val="34"/>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tab/>
      </w:r>
      <w:r w:rsidRPr="06636B6A">
        <w:rPr>
          <w:rFonts w:asciiTheme="minorHAnsi" w:hAnsiTheme="minorHAnsi"/>
        </w:rPr>
        <w:t>Policy Statement</w:t>
      </w:r>
      <w:r>
        <w:tab/>
      </w:r>
    </w:p>
    <w:p w14:paraId="0E27B00A" w14:textId="67859EA9" w:rsidR="005949FB" w:rsidRPr="000D1A7A" w:rsidRDefault="1259F4D4" w:rsidP="06636B6A">
      <w:pPr>
        <w:spacing w:before="160" w:after="240"/>
      </w:pPr>
      <w:r w:rsidRPr="06636B6A">
        <w:rPr>
          <w:rFonts w:ascii="Calibri" w:eastAsia="Calibri" w:hAnsi="Calibri" w:cs="Calibri"/>
        </w:rPr>
        <w:t>The Student Self-Assessed Fee Oversight (SSAFO) Committee, in conjunction with the Chief Business Affairs Officer and the Chief Student Affairs Officer, has established a limited supplemental funding pool to assist Recognized Student Organizations (RSOs), university departments, and their activities through an application/evaluation process.</w:t>
      </w:r>
    </w:p>
    <w:p w14:paraId="7C1B096F" w14:textId="77777777" w:rsidR="007D240C" w:rsidRPr="006F6044" w:rsidRDefault="007D240C"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tab/>
      </w:r>
      <w:r w:rsidRPr="06636B6A">
        <w:rPr>
          <w:rFonts w:asciiTheme="minorHAnsi" w:hAnsiTheme="minorHAnsi"/>
        </w:rPr>
        <w:t>Purpose of Policy</w:t>
      </w:r>
    </w:p>
    <w:p w14:paraId="60061E4C" w14:textId="6797E9C7" w:rsidR="005949FB" w:rsidRPr="000D1A7A" w:rsidRDefault="1962A476" w:rsidP="06636B6A">
      <w:pPr>
        <w:spacing w:before="160" w:after="240"/>
      </w:pPr>
      <w:r w:rsidRPr="06636B6A">
        <w:rPr>
          <w:rFonts w:ascii="Calibri" w:eastAsia="Calibri" w:hAnsi="Calibri" w:cs="Calibri"/>
        </w:rPr>
        <w:t>To establish guidelines and procedures for allocating the student activity enhancement funds to RSOs and university departments, ensuring fair distribution and usage in support of student activities.</w:t>
      </w:r>
    </w:p>
    <w:p w14:paraId="5AA11D47" w14:textId="77777777" w:rsidR="009C60B1" w:rsidRPr="000D1A7A" w:rsidRDefault="009C60B1" w:rsidP="00DB4992">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tab/>
      </w:r>
      <w:r w:rsidRPr="06636B6A">
        <w:rPr>
          <w:rFonts w:asciiTheme="minorHAnsi" w:hAnsiTheme="minorHAnsi"/>
        </w:rPr>
        <w:t>Applicability</w:t>
      </w:r>
    </w:p>
    <w:p w14:paraId="44EAFD9C" w14:textId="2616700B" w:rsidR="005949FB" w:rsidRPr="000D1A7A" w:rsidRDefault="65F78A97" w:rsidP="06636B6A">
      <w:pPr>
        <w:spacing w:before="160" w:after="240"/>
      </w:pPr>
      <w:r w:rsidRPr="06636B6A">
        <w:rPr>
          <w:rFonts w:ascii="Calibri" w:eastAsia="Calibri" w:hAnsi="Calibri" w:cs="Calibri"/>
        </w:rPr>
        <w:t>This policy applies to Recognized Student Organizations (RSOs) and university departments seeking supplemental funding for activities that benefit the students of ULM.</w:t>
      </w:r>
    </w:p>
    <w:p w14:paraId="20650D58" w14:textId="77777777" w:rsidR="009C60B1" w:rsidRPr="000D1A7A" w:rsidRDefault="009C60B1" w:rsidP="00DB499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tab/>
      </w:r>
      <w:r w:rsidRPr="06636B6A">
        <w:rPr>
          <w:rFonts w:asciiTheme="minorHAnsi" w:hAnsiTheme="minorHAnsi"/>
        </w:rPr>
        <w:t>Definitions</w:t>
      </w:r>
    </w:p>
    <w:p w14:paraId="01639BDF" w14:textId="26ADA2E4" w:rsidR="1263E451" w:rsidRPr="00F25F63" w:rsidRDefault="645F3D1E" w:rsidP="00F25F63">
      <w:pPr>
        <w:pStyle w:val="ListParagraph"/>
        <w:numPr>
          <w:ilvl w:val="0"/>
          <w:numId w:val="5"/>
        </w:numPr>
        <w:spacing w:before="120" w:after="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RSO</w:t>
      </w:r>
      <w:r w:rsidRPr="00F25F63">
        <w:rPr>
          <w:rFonts w:asciiTheme="minorHAnsi" w:eastAsiaTheme="minorEastAsia" w:hAnsiTheme="minorHAnsi" w:cstheme="minorHAnsi"/>
          <w:sz w:val="24"/>
          <w:szCs w:val="24"/>
        </w:rPr>
        <w:t>: Recognized Student Organization in good standing with ULM.</w:t>
      </w:r>
    </w:p>
    <w:p w14:paraId="7C265A2B" w14:textId="1EC55FA5" w:rsidR="33A016BE" w:rsidRPr="00F25F63" w:rsidRDefault="33A016BE" w:rsidP="36AAE7F3">
      <w:pPr>
        <w:pStyle w:val="ListParagraph"/>
        <w:numPr>
          <w:ilvl w:val="0"/>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SSAFO Screening Committee</w:t>
      </w:r>
      <w:r w:rsidRPr="00F25F63">
        <w:rPr>
          <w:rFonts w:asciiTheme="minorHAnsi" w:eastAsiaTheme="minorEastAsia" w:hAnsiTheme="minorHAnsi" w:cstheme="minorHAnsi"/>
          <w:sz w:val="24"/>
          <w:szCs w:val="24"/>
        </w:rPr>
        <w:t xml:space="preserve">: </w:t>
      </w:r>
      <w:r w:rsidR="0C627CFE" w:rsidRPr="00F25F63">
        <w:rPr>
          <w:rFonts w:asciiTheme="minorHAnsi" w:eastAsiaTheme="minorEastAsia" w:hAnsiTheme="minorHAnsi" w:cstheme="minorHAnsi"/>
          <w:sz w:val="24"/>
          <w:szCs w:val="24"/>
        </w:rPr>
        <w:t xml:space="preserve">The </w:t>
      </w:r>
      <w:r w:rsidRPr="00F25F63">
        <w:rPr>
          <w:rFonts w:asciiTheme="minorHAnsi" w:eastAsiaTheme="minorEastAsia" w:hAnsiTheme="minorHAnsi" w:cstheme="minorHAnsi"/>
          <w:sz w:val="24"/>
          <w:szCs w:val="24"/>
        </w:rPr>
        <w:t xml:space="preserve">Student Self-Assessed Fee </w:t>
      </w:r>
      <w:r w:rsidR="640D5974" w:rsidRPr="00F25F63">
        <w:rPr>
          <w:rFonts w:asciiTheme="minorHAnsi" w:eastAsiaTheme="minorEastAsia" w:hAnsiTheme="minorHAnsi" w:cstheme="minorHAnsi"/>
          <w:sz w:val="24"/>
          <w:szCs w:val="24"/>
        </w:rPr>
        <w:t xml:space="preserve">Screening </w:t>
      </w:r>
      <w:r w:rsidRPr="00F25F63">
        <w:rPr>
          <w:rFonts w:asciiTheme="minorHAnsi" w:eastAsiaTheme="minorEastAsia" w:hAnsiTheme="minorHAnsi" w:cstheme="minorHAnsi"/>
          <w:sz w:val="24"/>
          <w:szCs w:val="24"/>
        </w:rPr>
        <w:t xml:space="preserve">Committee </w:t>
      </w:r>
      <w:r w:rsidR="71EB41EB" w:rsidRPr="00F25F63">
        <w:rPr>
          <w:rFonts w:asciiTheme="minorHAnsi" w:eastAsiaTheme="minorEastAsia" w:hAnsiTheme="minorHAnsi" w:cstheme="minorHAnsi"/>
          <w:sz w:val="24"/>
          <w:szCs w:val="24"/>
        </w:rPr>
        <w:t xml:space="preserve">reviews applications to determine if they should be forwarded </w:t>
      </w:r>
      <w:r w:rsidR="7D068B0E" w:rsidRPr="00F25F63">
        <w:rPr>
          <w:rFonts w:asciiTheme="minorHAnsi" w:eastAsiaTheme="minorEastAsia" w:hAnsiTheme="minorHAnsi" w:cstheme="minorHAnsi"/>
          <w:sz w:val="24"/>
          <w:szCs w:val="24"/>
        </w:rPr>
        <w:t>to the</w:t>
      </w:r>
      <w:r w:rsidR="71EB41EB" w:rsidRPr="00F25F63">
        <w:rPr>
          <w:rFonts w:asciiTheme="minorHAnsi" w:eastAsiaTheme="minorEastAsia" w:hAnsiTheme="minorHAnsi" w:cstheme="minorHAnsi"/>
          <w:sz w:val="24"/>
          <w:szCs w:val="24"/>
        </w:rPr>
        <w:t xml:space="preserve"> full </w:t>
      </w:r>
      <w:r w:rsidR="33FD4B00" w:rsidRPr="00F25F63">
        <w:rPr>
          <w:rFonts w:asciiTheme="minorHAnsi" w:eastAsiaTheme="minorEastAsia" w:hAnsiTheme="minorHAnsi" w:cstheme="minorHAnsi"/>
          <w:b/>
          <w:bCs/>
          <w:sz w:val="24"/>
          <w:szCs w:val="24"/>
        </w:rPr>
        <w:t>SSAFO Committee</w:t>
      </w:r>
      <w:r w:rsidR="33FD4B00" w:rsidRPr="00F25F63">
        <w:rPr>
          <w:rFonts w:asciiTheme="minorHAnsi" w:eastAsiaTheme="minorEastAsia" w:hAnsiTheme="minorHAnsi" w:cstheme="minorHAnsi"/>
          <w:sz w:val="24"/>
          <w:szCs w:val="24"/>
        </w:rPr>
        <w:t xml:space="preserve"> </w:t>
      </w:r>
      <w:r w:rsidR="0A5A682E" w:rsidRPr="00F25F63">
        <w:rPr>
          <w:rFonts w:asciiTheme="minorHAnsi" w:eastAsiaTheme="minorEastAsia" w:hAnsiTheme="minorHAnsi" w:cstheme="minorHAnsi"/>
          <w:sz w:val="24"/>
          <w:szCs w:val="24"/>
        </w:rPr>
        <w:t xml:space="preserve">for </w:t>
      </w:r>
      <w:r w:rsidR="71EB41EB" w:rsidRPr="00F25F63">
        <w:rPr>
          <w:rFonts w:asciiTheme="minorHAnsi" w:eastAsiaTheme="minorEastAsia" w:hAnsiTheme="minorHAnsi" w:cstheme="minorHAnsi"/>
          <w:sz w:val="24"/>
          <w:szCs w:val="24"/>
        </w:rPr>
        <w:t>review, returned for adjustments, or recommended for funding approval</w:t>
      </w:r>
      <w:r w:rsidR="2D660A0F" w:rsidRPr="00F25F63">
        <w:rPr>
          <w:rFonts w:asciiTheme="minorHAnsi" w:eastAsiaTheme="minorEastAsia" w:hAnsiTheme="minorHAnsi" w:cstheme="minorHAnsi"/>
          <w:sz w:val="24"/>
          <w:szCs w:val="24"/>
        </w:rPr>
        <w:t>. The SSAFO Screening Committee is</w:t>
      </w:r>
      <w:r w:rsidR="6D35E76A" w:rsidRPr="00F25F63">
        <w:rPr>
          <w:rFonts w:asciiTheme="minorHAnsi" w:eastAsiaTheme="minorEastAsia" w:hAnsiTheme="minorHAnsi" w:cstheme="minorHAnsi"/>
          <w:sz w:val="24"/>
          <w:szCs w:val="24"/>
        </w:rPr>
        <w:t xml:space="preserve"> composed of 4 individuals (3 for quorum) </w:t>
      </w:r>
    </w:p>
    <w:p w14:paraId="09038A51" w14:textId="68CEC766" w:rsidR="6D35E76A" w:rsidRPr="00F25F63" w:rsidRDefault="6D35E76A"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Chief Business Affairs Officer or designee</w:t>
      </w:r>
      <w:r w:rsidR="34DBA5E6" w:rsidRPr="00F25F63">
        <w:rPr>
          <w:rFonts w:asciiTheme="minorHAnsi" w:eastAsiaTheme="minorEastAsia" w:hAnsiTheme="minorHAnsi" w:cstheme="minorHAnsi"/>
          <w:sz w:val="24"/>
          <w:szCs w:val="24"/>
        </w:rPr>
        <w:t>.</w:t>
      </w:r>
    </w:p>
    <w:p w14:paraId="38BEF302" w14:textId="7FD304F4" w:rsidR="6D35E76A" w:rsidRPr="00F25F63" w:rsidRDefault="6D35E76A"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Chief Student Affairs Officer</w:t>
      </w:r>
      <w:r w:rsidR="74FC8104" w:rsidRPr="00F25F63">
        <w:rPr>
          <w:rFonts w:asciiTheme="minorHAnsi" w:eastAsiaTheme="minorEastAsia" w:hAnsiTheme="minorHAnsi" w:cstheme="minorHAnsi"/>
          <w:sz w:val="24"/>
          <w:szCs w:val="24"/>
        </w:rPr>
        <w:t>.</w:t>
      </w:r>
    </w:p>
    <w:p w14:paraId="6356E434" w14:textId="65A07976" w:rsidR="6D35E76A" w:rsidRPr="00F25F63" w:rsidRDefault="6D35E76A"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Director of Student Development</w:t>
      </w:r>
      <w:r w:rsidR="48C7D384" w:rsidRPr="00F25F63">
        <w:rPr>
          <w:rFonts w:asciiTheme="minorHAnsi" w:eastAsiaTheme="minorEastAsia" w:hAnsiTheme="minorHAnsi" w:cstheme="minorHAnsi"/>
          <w:sz w:val="24"/>
          <w:szCs w:val="24"/>
        </w:rPr>
        <w:t>.</w:t>
      </w:r>
    </w:p>
    <w:p w14:paraId="10F67F15" w14:textId="4BCF375C" w:rsidR="6D35E76A" w:rsidRPr="00F25F63" w:rsidRDefault="6D35E76A"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Chair of the SSAFO committee.</w:t>
      </w:r>
    </w:p>
    <w:p w14:paraId="04A61852" w14:textId="61350C12" w:rsidR="15461429" w:rsidRPr="00F25F63" w:rsidRDefault="15461429" w:rsidP="36AAE7F3">
      <w:pPr>
        <w:pStyle w:val="ListParagraph"/>
        <w:numPr>
          <w:ilvl w:val="0"/>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SSAFO Committee</w:t>
      </w:r>
      <w:r w:rsidRPr="00F25F63">
        <w:rPr>
          <w:rFonts w:asciiTheme="minorHAnsi" w:eastAsiaTheme="minorEastAsia" w:hAnsiTheme="minorHAnsi" w:cstheme="minorHAnsi"/>
          <w:sz w:val="24"/>
          <w:szCs w:val="24"/>
        </w:rPr>
        <w:t>: Student Self-Assessed Fee Oversight Committee oversees the allocation of the student activity enhancement fee.</w:t>
      </w:r>
      <w:r w:rsidR="409CFDD3" w:rsidRPr="00F25F63">
        <w:rPr>
          <w:rFonts w:asciiTheme="minorHAnsi" w:eastAsiaTheme="minorEastAsia" w:hAnsiTheme="minorHAnsi" w:cstheme="minorHAnsi"/>
          <w:sz w:val="24"/>
          <w:szCs w:val="24"/>
        </w:rPr>
        <w:t xml:space="preserve"> The </w:t>
      </w:r>
      <w:r w:rsidR="409CFDD3" w:rsidRPr="00F25F63">
        <w:rPr>
          <w:rFonts w:asciiTheme="minorHAnsi" w:eastAsiaTheme="minorEastAsia" w:hAnsiTheme="minorHAnsi" w:cstheme="minorHAnsi"/>
          <w:b/>
          <w:bCs/>
          <w:sz w:val="24"/>
          <w:szCs w:val="24"/>
        </w:rPr>
        <w:t>SSAFO Committee c</w:t>
      </w:r>
      <w:r w:rsidR="409CFDD3" w:rsidRPr="00F25F63">
        <w:rPr>
          <w:rFonts w:asciiTheme="minorHAnsi" w:eastAsiaTheme="minorEastAsia" w:hAnsiTheme="minorHAnsi" w:cstheme="minorHAnsi"/>
          <w:sz w:val="24"/>
          <w:szCs w:val="24"/>
        </w:rPr>
        <w:t xml:space="preserve">omprises seven voting and three non-voting members. Quorum requires five voting members </w:t>
      </w:r>
      <w:bookmarkStart w:id="4" w:name="_Int_Aa6PRaSb"/>
      <w:r w:rsidR="409CFDD3" w:rsidRPr="00F25F63">
        <w:rPr>
          <w:rFonts w:asciiTheme="minorHAnsi" w:eastAsiaTheme="minorEastAsia" w:hAnsiTheme="minorHAnsi" w:cstheme="minorHAnsi"/>
          <w:sz w:val="24"/>
          <w:szCs w:val="24"/>
        </w:rPr>
        <w:t>present</w:t>
      </w:r>
      <w:bookmarkEnd w:id="4"/>
      <w:r w:rsidR="409CFDD3" w:rsidRPr="00F25F63">
        <w:rPr>
          <w:rFonts w:asciiTheme="minorHAnsi" w:eastAsiaTheme="minorEastAsia" w:hAnsiTheme="minorHAnsi" w:cstheme="minorHAnsi"/>
          <w:sz w:val="24"/>
          <w:szCs w:val="24"/>
        </w:rPr>
        <w:t>.</w:t>
      </w:r>
      <w:r w:rsidR="067D7127" w:rsidRPr="00F25F63">
        <w:rPr>
          <w:rFonts w:asciiTheme="minorHAnsi" w:eastAsiaTheme="minorEastAsia" w:hAnsiTheme="minorHAnsi" w:cstheme="minorHAnsi"/>
          <w:sz w:val="24"/>
          <w:szCs w:val="24"/>
        </w:rPr>
        <w:t xml:space="preserve"> </w:t>
      </w:r>
      <w:r w:rsidR="409CFDD3" w:rsidRPr="00F25F63">
        <w:rPr>
          <w:rFonts w:asciiTheme="minorHAnsi" w:eastAsiaTheme="minorEastAsia" w:hAnsiTheme="minorHAnsi" w:cstheme="minorHAnsi"/>
          <w:sz w:val="24"/>
          <w:szCs w:val="24"/>
        </w:rPr>
        <w:t>Proxy voting is permitted and must be submitted by email prior to the meeting. Alternate members may replace absent committee members to meet quorum requirements.</w:t>
      </w:r>
    </w:p>
    <w:p w14:paraId="69C1B733" w14:textId="665E6721" w:rsidR="409CFDD3" w:rsidRPr="00F25F63" w:rsidRDefault="409CFDD3"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Non-Voting Members</w:t>
      </w:r>
      <w:r w:rsidRPr="00F25F63">
        <w:rPr>
          <w:rFonts w:asciiTheme="minorHAnsi" w:eastAsiaTheme="minorEastAsia" w:hAnsiTheme="minorHAnsi" w:cstheme="minorHAnsi"/>
          <w:sz w:val="24"/>
          <w:szCs w:val="24"/>
        </w:rPr>
        <w:t>: Chief Business Affairs Officer, Chief Student Affairs Officer, Director of Student Development.</w:t>
      </w:r>
    </w:p>
    <w:p w14:paraId="4BBFF219" w14:textId="1CB9B12E" w:rsidR="409CFDD3" w:rsidRPr="00F25F63" w:rsidRDefault="409CFDD3"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Voting Members</w:t>
      </w:r>
      <w:r w:rsidRPr="00F25F63">
        <w:rPr>
          <w:rFonts w:asciiTheme="minorHAnsi" w:eastAsiaTheme="minorEastAsia" w:hAnsiTheme="minorHAnsi" w:cstheme="minorHAnsi"/>
          <w:sz w:val="24"/>
          <w:szCs w:val="24"/>
        </w:rPr>
        <w:t xml:space="preserve">: </w:t>
      </w:r>
      <w:r w:rsidR="6C2D4B4C" w:rsidRPr="00F25F63">
        <w:rPr>
          <w:rFonts w:asciiTheme="minorHAnsi" w:eastAsiaTheme="minorEastAsia" w:hAnsiTheme="minorHAnsi" w:cstheme="minorHAnsi"/>
          <w:sz w:val="24"/>
          <w:szCs w:val="24"/>
        </w:rPr>
        <w:t>Chair of SSAFO Committee (</w:t>
      </w:r>
      <w:r w:rsidRPr="00F25F63">
        <w:rPr>
          <w:rFonts w:asciiTheme="minorHAnsi" w:eastAsiaTheme="minorEastAsia" w:hAnsiTheme="minorHAnsi" w:cstheme="minorHAnsi"/>
          <w:sz w:val="24"/>
          <w:szCs w:val="24"/>
        </w:rPr>
        <w:t>CAB or SGA President</w:t>
      </w:r>
      <w:r w:rsidR="1020334B" w:rsidRPr="00F25F63">
        <w:rPr>
          <w:rFonts w:asciiTheme="minorHAnsi" w:eastAsiaTheme="minorEastAsia" w:hAnsiTheme="minorHAnsi" w:cstheme="minorHAnsi"/>
          <w:sz w:val="24"/>
          <w:szCs w:val="24"/>
        </w:rPr>
        <w:t xml:space="preserve">, </w:t>
      </w:r>
      <w:r w:rsidRPr="00F25F63">
        <w:rPr>
          <w:rFonts w:asciiTheme="minorHAnsi" w:eastAsiaTheme="minorEastAsia" w:hAnsiTheme="minorHAnsi" w:cstheme="minorHAnsi"/>
          <w:sz w:val="24"/>
          <w:szCs w:val="24"/>
        </w:rPr>
        <w:t>alternating), an RSO President (not a CAB or SGA member), two RSO student representatives, a representative from the Faculty Senate, a representative from the Staff Senate, and a representative from Athletics.</w:t>
      </w:r>
    </w:p>
    <w:p w14:paraId="008022AC" w14:textId="25CFB827" w:rsidR="67C33427" w:rsidRPr="00F25F63" w:rsidRDefault="67C33427"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The Committee Chair will only vote in case of a tie.</w:t>
      </w:r>
    </w:p>
    <w:p w14:paraId="356ABC04" w14:textId="039A5500" w:rsidR="67C33427" w:rsidRPr="00F25F63" w:rsidRDefault="67C33427"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lastRenderedPageBreak/>
        <w:t>Members on the committee MUST abstain from voting on funding for their specific group, department, or sub-unit.</w:t>
      </w:r>
    </w:p>
    <w:p w14:paraId="1B8B975D" w14:textId="4318EEB4" w:rsidR="67C33427" w:rsidRPr="00F25F63" w:rsidRDefault="67C33427"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All representatives serving on the SSAFO Committee will be appointed by the Chief Student Affairs Officer with approval from the ULM President. Each member of the committee may serve up to three academic years and may be re-appointed for an additional three years.</w:t>
      </w:r>
    </w:p>
    <w:p w14:paraId="60368B88" w14:textId="05AD824F" w:rsidR="36AAE7F3" w:rsidRPr="00F25F63" w:rsidRDefault="36AAE7F3" w:rsidP="36AAE7F3">
      <w:pPr>
        <w:pStyle w:val="ListParagraph"/>
        <w:spacing w:after="0"/>
        <w:rPr>
          <w:rFonts w:asciiTheme="minorHAnsi" w:hAnsiTheme="minorHAnsi" w:cstheme="minorHAnsi"/>
          <w:sz w:val="24"/>
          <w:szCs w:val="24"/>
        </w:rPr>
      </w:pPr>
    </w:p>
    <w:p w14:paraId="74516702" w14:textId="77777777" w:rsidR="009C60B1" w:rsidRPr="00F25F63"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5" w:name="_V._Policy_Procedure"/>
      <w:bookmarkEnd w:id="5"/>
      <w:r w:rsidRPr="00F25F63">
        <w:rPr>
          <w:rFonts w:asciiTheme="minorHAnsi" w:hAnsiTheme="minorHAnsi" w:cstheme="minorHAnsi"/>
        </w:rPr>
        <w:tab/>
        <w:t>Policy Procedure</w:t>
      </w:r>
    </w:p>
    <w:p w14:paraId="19CD1C16" w14:textId="54EC5882" w:rsidR="18EE55DF" w:rsidRPr="00F25F63" w:rsidRDefault="6E9B14EF" w:rsidP="00F25F63">
      <w:pPr>
        <w:pStyle w:val="ListParagraph"/>
        <w:numPr>
          <w:ilvl w:val="0"/>
          <w:numId w:val="5"/>
        </w:numPr>
        <w:spacing w:before="120" w:after="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Eligibility for RSOs</w:t>
      </w:r>
      <w:r w:rsidRPr="00F25F63">
        <w:rPr>
          <w:rFonts w:asciiTheme="minorHAnsi" w:eastAsiaTheme="minorEastAsia" w:hAnsiTheme="minorHAnsi" w:cstheme="minorHAnsi"/>
          <w:sz w:val="24"/>
          <w:szCs w:val="24"/>
        </w:rPr>
        <w:t>:</w:t>
      </w:r>
    </w:p>
    <w:p w14:paraId="30D2B5BD" w14:textId="184377AD" w:rsidR="18EE55DF" w:rsidRPr="00F25F63" w:rsidRDefault="6E9B14EF"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Organizations must be in good standing with ULM and have no past-due financial obligations.</w:t>
      </w:r>
    </w:p>
    <w:p w14:paraId="11A4DBCF" w14:textId="2A627FB1" w:rsidR="18EE55DF" w:rsidRPr="00F25F63" w:rsidRDefault="6E9B14EF"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Must have been an RSO for a minimum of two full academic years. Organizations returning after a suspension must complete two academic years without any disciplinary actions before applying.</w:t>
      </w:r>
    </w:p>
    <w:p w14:paraId="094306E4" w14:textId="20DB8580" w:rsidR="18EE55DF" w:rsidRPr="00F25F63" w:rsidRDefault="6E9B14EF"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Must demonstrate leadership transition beyond founding members.</w:t>
      </w:r>
    </w:p>
    <w:p w14:paraId="01B6C65F" w14:textId="2DD00D9F" w:rsidR="18EE55DF" w:rsidRPr="00F25F63" w:rsidRDefault="6E9B14EF"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Must have regularly scheduled practices and/or meetings.</w:t>
      </w:r>
    </w:p>
    <w:p w14:paraId="693B7865" w14:textId="7B96A2E0" w:rsidR="18EE55DF" w:rsidRPr="00F25F63" w:rsidRDefault="6E9B14EF"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Must maintain financial stability, including a yearly operating budget and detailed spending reports.</w:t>
      </w:r>
    </w:p>
    <w:p w14:paraId="05BED96F" w14:textId="7CDCFBD8" w:rsidR="18EE55DF" w:rsidRPr="00F25F63" w:rsidRDefault="6E9B14EF" w:rsidP="36AAE7F3">
      <w:pPr>
        <w:pStyle w:val="ListParagraph"/>
        <w:numPr>
          <w:ilvl w:val="1"/>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Must have a minimum of 10 continually active members for at least one year.</w:t>
      </w:r>
    </w:p>
    <w:p w14:paraId="4369F9D6" w14:textId="07346254" w:rsidR="18EE55DF" w:rsidRPr="00F25F63" w:rsidRDefault="6E9B14EF" w:rsidP="36AAE7F3">
      <w:pPr>
        <w:pStyle w:val="ListParagraph"/>
        <w:numPr>
          <w:ilvl w:val="0"/>
          <w:numId w:val="5"/>
        </w:numPr>
        <w:spacing w:before="240" w:after="24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Application Submission</w:t>
      </w:r>
      <w:r w:rsidRPr="00F25F63">
        <w:rPr>
          <w:rFonts w:asciiTheme="minorHAnsi" w:eastAsiaTheme="minorEastAsia" w:hAnsiTheme="minorHAnsi" w:cstheme="minorHAnsi"/>
          <w:sz w:val="24"/>
          <w:szCs w:val="24"/>
        </w:rPr>
        <w:t>: Eligible RSOs and university departments must submit the Student Activity Enhancement Request Form (see section XI) by the 15th of the month preceding the SSAFO Committee's bi-monthly meetings, with exceptions noted for the February meeting (last working day in January) and the September meeting (first Friday in September).</w:t>
      </w:r>
    </w:p>
    <w:p w14:paraId="3F75DBC2" w14:textId="1ED9177D" w:rsidR="18EE55DF" w:rsidRPr="00F25F63" w:rsidRDefault="6E9B14EF" w:rsidP="36AAE7F3">
      <w:pPr>
        <w:pStyle w:val="ListParagraph"/>
        <w:numPr>
          <w:ilvl w:val="0"/>
          <w:numId w:val="5"/>
        </w:numPr>
        <w:spacing w:before="240" w:after="24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Meeting Schedule</w:t>
      </w:r>
      <w:r w:rsidRPr="00F25F63">
        <w:rPr>
          <w:rFonts w:asciiTheme="minorHAnsi" w:eastAsiaTheme="minorEastAsia" w:hAnsiTheme="minorHAnsi" w:cstheme="minorHAnsi"/>
          <w:sz w:val="24"/>
          <w:szCs w:val="24"/>
        </w:rPr>
        <w:t>:</w:t>
      </w:r>
      <w:r w:rsidR="0A7E76B6" w:rsidRPr="00F25F63">
        <w:rPr>
          <w:rFonts w:asciiTheme="minorHAnsi" w:eastAsiaTheme="minorEastAsia" w:hAnsiTheme="minorHAnsi" w:cstheme="minorHAnsi"/>
          <w:sz w:val="24"/>
          <w:szCs w:val="24"/>
        </w:rPr>
        <w:t xml:space="preserve"> </w:t>
      </w:r>
      <w:r w:rsidRPr="00F25F63">
        <w:rPr>
          <w:rFonts w:asciiTheme="minorHAnsi" w:eastAsiaTheme="minorEastAsia" w:hAnsiTheme="minorHAnsi" w:cstheme="minorHAnsi"/>
          <w:sz w:val="24"/>
          <w:szCs w:val="24"/>
        </w:rPr>
        <w:t>The SSAFO Committee convenes bi-monthly, with additional special meetings as needed for events like bowl games or national competitions.</w:t>
      </w:r>
    </w:p>
    <w:p w14:paraId="013808D4" w14:textId="377B3637" w:rsidR="47D7688B" w:rsidRPr="00F25F63" w:rsidRDefault="4C3350D7" w:rsidP="36AAE7F3">
      <w:pPr>
        <w:pStyle w:val="ListParagraph"/>
        <w:numPr>
          <w:ilvl w:val="0"/>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 xml:space="preserve">Application Review Process: </w:t>
      </w:r>
      <w:r w:rsidRPr="00F25F63">
        <w:rPr>
          <w:rFonts w:asciiTheme="minorHAnsi" w:eastAsiaTheme="minorEastAsia" w:hAnsiTheme="minorHAnsi" w:cstheme="minorHAnsi"/>
          <w:sz w:val="24"/>
          <w:szCs w:val="24"/>
        </w:rPr>
        <w:t>Applications are reviewed by the SSAFO Screening Committee to determine if they should be forwarded for full committee review, returned for adjustments, or recommended for funding approval. Emergency allocations are allowed by majority vote under extenuating circumstances.</w:t>
      </w:r>
    </w:p>
    <w:p w14:paraId="3D146C64" w14:textId="4A596B7C" w:rsidR="4C3350D7" w:rsidRPr="00F25F63" w:rsidRDefault="4C3350D7" w:rsidP="36AAE7F3">
      <w:pPr>
        <w:pStyle w:val="ListParagraph"/>
        <w:numPr>
          <w:ilvl w:val="0"/>
          <w:numId w:val="5"/>
        </w:numPr>
        <w:spacing w:before="240" w:after="240"/>
        <w:rPr>
          <w:rFonts w:asciiTheme="minorHAnsi" w:eastAsia="Aptos" w:hAnsiTheme="minorHAnsi" w:cstheme="minorHAnsi"/>
          <w:sz w:val="24"/>
          <w:szCs w:val="24"/>
        </w:rPr>
      </w:pPr>
      <w:r w:rsidRPr="00F25F63">
        <w:rPr>
          <w:rFonts w:asciiTheme="minorHAnsi" w:eastAsiaTheme="minorEastAsia" w:hAnsiTheme="minorHAnsi" w:cstheme="minorHAnsi"/>
          <w:b/>
          <w:bCs/>
          <w:sz w:val="24"/>
          <w:szCs w:val="24"/>
        </w:rPr>
        <w:t>Documentation and Supporting Materials</w:t>
      </w:r>
      <w:r w:rsidRPr="00F25F63">
        <w:rPr>
          <w:rFonts w:asciiTheme="minorHAnsi" w:eastAsiaTheme="minorEastAsia" w:hAnsiTheme="minorHAnsi" w:cstheme="minorHAnsi"/>
          <w:sz w:val="24"/>
          <w:szCs w:val="24"/>
        </w:rPr>
        <w:t xml:space="preserve">: Applicants must provide an operating budget and a detailed report on how the requested funds will be spent. </w:t>
      </w:r>
      <w:r w:rsidR="3B50904F" w:rsidRPr="00F25F63">
        <w:rPr>
          <w:rFonts w:asciiTheme="minorHAnsi" w:eastAsia="Aptos" w:hAnsiTheme="minorHAnsi" w:cstheme="minorHAnsi"/>
          <w:sz w:val="24"/>
          <w:szCs w:val="24"/>
        </w:rPr>
        <w:t>Funding for projects involving construction or manufacturing must include renderings, quotes, and anticipated timelines from the prospective company for the committee’s consideration.</w:t>
      </w:r>
      <w:r w:rsidR="3B50904F" w:rsidRPr="00F25F63">
        <w:rPr>
          <w:rFonts w:asciiTheme="minorHAnsi" w:eastAsiaTheme="minorEastAsia" w:hAnsiTheme="minorHAnsi" w:cstheme="minorHAnsi"/>
          <w:sz w:val="24"/>
          <w:szCs w:val="24"/>
        </w:rPr>
        <w:t xml:space="preserve"> </w:t>
      </w:r>
    </w:p>
    <w:p w14:paraId="38ABA3B4" w14:textId="2BFFF61B" w:rsidR="47D7688B" w:rsidRPr="00F25F63" w:rsidRDefault="4C3350D7" w:rsidP="36AAE7F3">
      <w:pPr>
        <w:pStyle w:val="ListParagraph"/>
        <w:numPr>
          <w:ilvl w:val="0"/>
          <w:numId w:val="5"/>
        </w:numPr>
        <w:spacing w:before="240" w:after="24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Funding Decision Communication</w:t>
      </w:r>
      <w:r w:rsidRPr="00F25F63">
        <w:rPr>
          <w:rFonts w:asciiTheme="minorHAnsi" w:eastAsiaTheme="minorEastAsia" w:hAnsiTheme="minorHAnsi" w:cstheme="minorHAnsi"/>
          <w:sz w:val="24"/>
          <w:szCs w:val="24"/>
        </w:rPr>
        <w:t>: After the SSAFO Committee's decision, each applicant will receive an email from the Director of Student Development detailing the funding decision, including the approved amount and any specific restrictions or conditions.</w:t>
      </w:r>
      <w:r w:rsidR="27A86229" w:rsidRPr="00F25F63">
        <w:rPr>
          <w:rFonts w:asciiTheme="minorHAnsi" w:eastAsiaTheme="minorEastAsia" w:hAnsiTheme="minorHAnsi" w:cstheme="minorHAnsi"/>
          <w:sz w:val="24"/>
          <w:szCs w:val="24"/>
        </w:rPr>
        <w:t xml:space="preserve"> One request per semester can be granted to an RSO; One request per year can be granted to a department included in the university budget.</w:t>
      </w:r>
    </w:p>
    <w:p w14:paraId="5F7FFA72" w14:textId="7B1BB455" w:rsidR="3CAD2D92" w:rsidRPr="00F25F63" w:rsidRDefault="1EF34234" w:rsidP="36AAE7F3">
      <w:pPr>
        <w:pStyle w:val="ListParagraph"/>
        <w:numPr>
          <w:ilvl w:val="0"/>
          <w:numId w:val="5"/>
        </w:numPr>
        <w:spacing w:before="240" w:after="240"/>
        <w:rPr>
          <w:rFonts w:asciiTheme="minorHAnsi" w:eastAsia="Aptos" w:hAnsiTheme="minorHAnsi" w:cstheme="minorHAnsi"/>
          <w:sz w:val="24"/>
          <w:szCs w:val="24"/>
        </w:rPr>
      </w:pPr>
      <w:r w:rsidRPr="00F25F63">
        <w:rPr>
          <w:rFonts w:asciiTheme="minorHAnsi" w:eastAsiaTheme="minorEastAsia" w:hAnsiTheme="minorHAnsi" w:cstheme="minorHAnsi"/>
          <w:b/>
          <w:bCs/>
          <w:sz w:val="24"/>
          <w:szCs w:val="24"/>
        </w:rPr>
        <w:t xml:space="preserve">Use of Funds: </w:t>
      </w:r>
      <w:r w:rsidRPr="00F25F63">
        <w:rPr>
          <w:rFonts w:asciiTheme="minorHAnsi" w:eastAsiaTheme="minorEastAsia" w:hAnsiTheme="minorHAnsi" w:cstheme="minorHAnsi"/>
          <w:sz w:val="24"/>
          <w:szCs w:val="24"/>
        </w:rPr>
        <w:t>Allocated funds must be strictly used for the purposes approved</w:t>
      </w:r>
      <w:r w:rsidR="61094DB3" w:rsidRPr="00F25F63">
        <w:rPr>
          <w:rFonts w:asciiTheme="minorHAnsi" w:eastAsiaTheme="minorEastAsia" w:hAnsiTheme="minorHAnsi" w:cstheme="minorHAnsi"/>
          <w:sz w:val="24"/>
          <w:szCs w:val="24"/>
        </w:rPr>
        <w:t xml:space="preserve"> and: </w:t>
      </w:r>
    </w:p>
    <w:p w14:paraId="51B264E2" w14:textId="3BD66386" w:rsidR="3CAD2D92" w:rsidRPr="00F25F63" w:rsidRDefault="125AD8C7" w:rsidP="36AAE7F3">
      <w:pPr>
        <w:pStyle w:val="ListParagraph"/>
        <w:numPr>
          <w:ilvl w:val="1"/>
          <w:numId w:val="5"/>
        </w:numPr>
        <w:spacing w:before="240" w:after="24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All funds must be used during the academic year awarded (no carryover) and post-event, itemized receipts, invoices, or other official documentation must be submitted to the SSAFO Committee and the ULM Controller's office for reconciliation.</w:t>
      </w:r>
    </w:p>
    <w:p w14:paraId="535B65E6" w14:textId="21D32F72" w:rsidR="3CAD2D92" w:rsidRPr="00F25F63" w:rsidRDefault="125AD8C7" w:rsidP="36AAE7F3">
      <w:pPr>
        <w:pStyle w:val="ListParagraph"/>
        <w:numPr>
          <w:ilvl w:val="1"/>
          <w:numId w:val="5"/>
        </w:numPr>
        <w:spacing w:before="240" w:after="24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 xml:space="preserve">All funds must be spent in accordance with </w:t>
      </w:r>
      <w:r w:rsidR="1EF34234" w:rsidRPr="00F25F63">
        <w:rPr>
          <w:rFonts w:asciiTheme="minorHAnsi" w:eastAsiaTheme="minorEastAsia" w:hAnsiTheme="minorHAnsi" w:cstheme="minorHAnsi"/>
          <w:sz w:val="24"/>
          <w:szCs w:val="24"/>
        </w:rPr>
        <w:t>university and state purchasing and travel policies</w:t>
      </w:r>
      <w:r w:rsidR="380B3798" w:rsidRPr="00F25F63">
        <w:rPr>
          <w:rFonts w:asciiTheme="minorHAnsi" w:eastAsiaTheme="minorEastAsia" w:hAnsiTheme="minorHAnsi" w:cstheme="minorHAnsi"/>
          <w:sz w:val="24"/>
          <w:szCs w:val="24"/>
        </w:rPr>
        <w:t xml:space="preserve"> and cannot </w:t>
      </w:r>
      <w:r w:rsidR="1EF34234" w:rsidRPr="00F25F63">
        <w:rPr>
          <w:rFonts w:asciiTheme="minorHAnsi" w:eastAsiaTheme="minorEastAsia" w:hAnsiTheme="minorHAnsi" w:cstheme="minorHAnsi"/>
          <w:sz w:val="24"/>
          <w:szCs w:val="24"/>
        </w:rPr>
        <w:t xml:space="preserve">be used for professional services or honorariums paid to ULM faculty/staff, adjunct, or guest faculty. </w:t>
      </w:r>
      <w:r w:rsidR="6B94F151" w:rsidRPr="00F25F63">
        <w:rPr>
          <w:rFonts w:asciiTheme="minorHAnsi" w:eastAsiaTheme="minorEastAsia" w:hAnsiTheme="minorHAnsi" w:cstheme="minorHAnsi"/>
          <w:sz w:val="24"/>
          <w:szCs w:val="24"/>
        </w:rPr>
        <w:t>Additional r</w:t>
      </w:r>
      <w:r w:rsidR="1EF34234" w:rsidRPr="00F25F63">
        <w:rPr>
          <w:rFonts w:asciiTheme="minorHAnsi" w:eastAsiaTheme="minorEastAsia" w:hAnsiTheme="minorHAnsi" w:cstheme="minorHAnsi"/>
          <w:sz w:val="24"/>
          <w:szCs w:val="24"/>
        </w:rPr>
        <w:t>estrictions include:</w:t>
      </w:r>
    </w:p>
    <w:p w14:paraId="279EA1AC" w14:textId="075B713E" w:rsidR="3CAD2D92" w:rsidRPr="00F25F63" w:rsidRDefault="1EF34234" w:rsidP="36AAE7F3">
      <w:pPr>
        <w:pStyle w:val="ListParagraph"/>
        <w:numPr>
          <w:ilvl w:val="2"/>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No funding for gifts (plaques &amp; recognition awards are exceptions).</w:t>
      </w:r>
    </w:p>
    <w:p w14:paraId="7A8C1EB7" w14:textId="3D36F306" w:rsidR="3CAD2D92" w:rsidRDefault="1EF34234" w:rsidP="36AAE7F3">
      <w:pPr>
        <w:pStyle w:val="ListParagraph"/>
        <w:numPr>
          <w:ilvl w:val="2"/>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No funding for food, except for travel expenses.</w:t>
      </w:r>
    </w:p>
    <w:p w14:paraId="001606B9" w14:textId="77777777" w:rsidR="00F25F63" w:rsidRPr="00F25F63" w:rsidRDefault="00F25F63" w:rsidP="00F25F63">
      <w:pPr>
        <w:pStyle w:val="ListParagraph"/>
        <w:spacing w:after="0"/>
        <w:ind w:left="2160"/>
        <w:rPr>
          <w:rFonts w:asciiTheme="minorHAnsi" w:eastAsiaTheme="minorEastAsia" w:hAnsiTheme="minorHAnsi" w:cstheme="minorHAnsi"/>
          <w:sz w:val="24"/>
          <w:szCs w:val="24"/>
        </w:rPr>
      </w:pPr>
    </w:p>
    <w:p w14:paraId="71137397" w14:textId="665AE309" w:rsidR="3CAD2D92" w:rsidRPr="00F25F63" w:rsidRDefault="1EF34234" w:rsidP="36AAE7F3">
      <w:pPr>
        <w:pStyle w:val="ListParagraph"/>
        <w:numPr>
          <w:ilvl w:val="2"/>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No funding for leisure clothing or promotional giveaways, unless available to all students at an open venue.</w:t>
      </w:r>
    </w:p>
    <w:p w14:paraId="040CFCD1" w14:textId="0A41CE1E" w:rsidR="3CAD2D92" w:rsidRPr="00F25F63" w:rsidRDefault="1EF34234" w:rsidP="36AAE7F3">
      <w:pPr>
        <w:pStyle w:val="ListParagraph"/>
        <w:numPr>
          <w:ilvl w:val="2"/>
          <w:numId w:val="5"/>
        </w:numPr>
        <w:spacing w:after="0"/>
        <w:rPr>
          <w:rFonts w:asciiTheme="minorHAnsi" w:eastAsiaTheme="minorEastAsia" w:hAnsiTheme="minorHAnsi" w:cstheme="minorHAnsi"/>
          <w:sz w:val="24"/>
          <w:szCs w:val="24"/>
        </w:rPr>
      </w:pPr>
      <w:r w:rsidRPr="00F25F63">
        <w:rPr>
          <w:rFonts w:asciiTheme="minorHAnsi" w:eastAsiaTheme="minorEastAsia" w:hAnsiTheme="minorHAnsi" w:cstheme="minorHAnsi"/>
          <w:sz w:val="24"/>
          <w:szCs w:val="24"/>
        </w:rPr>
        <w:t>Funding for RSO events must be open to all students.</w:t>
      </w:r>
      <w:r w:rsidRPr="00F25F63">
        <w:rPr>
          <w:rFonts w:asciiTheme="minorHAnsi" w:eastAsiaTheme="minorEastAsia" w:hAnsiTheme="minorHAnsi" w:cstheme="minorHAnsi"/>
          <w:b/>
          <w:bCs/>
          <w:sz w:val="24"/>
          <w:szCs w:val="24"/>
        </w:rPr>
        <w:t xml:space="preserve"> </w:t>
      </w:r>
    </w:p>
    <w:p w14:paraId="429EC8AB" w14:textId="34C39719" w:rsidR="36AAE7F3" w:rsidRPr="00F25F63" w:rsidRDefault="36AAE7F3" w:rsidP="36AAE7F3">
      <w:pPr>
        <w:pStyle w:val="ListParagraph"/>
        <w:spacing w:after="0"/>
        <w:rPr>
          <w:rFonts w:asciiTheme="minorHAnsi" w:eastAsiaTheme="minorEastAsia" w:hAnsiTheme="minorHAnsi" w:cstheme="minorHAnsi"/>
          <w:sz w:val="24"/>
          <w:szCs w:val="24"/>
        </w:rPr>
      </w:pPr>
    </w:p>
    <w:p w14:paraId="7B4D44A0" w14:textId="1B826428" w:rsidR="47D7688B" w:rsidRPr="00F25F63" w:rsidRDefault="4C3350D7" w:rsidP="36AAE7F3">
      <w:pPr>
        <w:pStyle w:val="ListParagraph"/>
        <w:numPr>
          <w:ilvl w:val="0"/>
          <w:numId w:val="5"/>
        </w:numPr>
        <w:spacing w:before="240" w:after="24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Annual Funding Limits</w:t>
      </w:r>
      <w:r w:rsidRPr="00F25F63">
        <w:rPr>
          <w:rFonts w:asciiTheme="minorHAnsi" w:eastAsiaTheme="minorEastAsia" w:hAnsiTheme="minorHAnsi" w:cstheme="minorHAnsi"/>
          <w:sz w:val="24"/>
          <w:szCs w:val="24"/>
        </w:rPr>
        <w:t>: Funding is capped at $10,000 per academic year for departments and $15,000 for RSOs, except under special circumstances approved by the SSAFO Screening Committee and the ULM President.</w:t>
      </w:r>
    </w:p>
    <w:p w14:paraId="2809BFB2" w14:textId="03BF1184" w:rsidR="47D7688B" w:rsidRPr="00F25F63" w:rsidRDefault="4C3350D7" w:rsidP="36AAE7F3">
      <w:pPr>
        <w:pStyle w:val="ListParagraph"/>
        <w:numPr>
          <w:ilvl w:val="0"/>
          <w:numId w:val="5"/>
        </w:numPr>
        <w:spacing w:before="240" w:after="240"/>
        <w:rPr>
          <w:rFonts w:asciiTheme="minorHAnsi" w:eastAsiaTheme="minorEastAsia" w:hAnsiTheme="minorHAnsi" w:cstheme="minorHAnsi"/>
          <w:b/>
          <w:bCs/>
          <w:sz w:val="24"/>
          <w:szCs w:val="24"/>
        </w:rPr>
      </w:pPr>
      <w:r w:rsidRPr="00F25F63">
        <w:rPr>
          <w:rFonts w:asciiTheme="minorHAnsi" w:eastAsiaTheme="minorEastAsia" w:hAnsiTheme="minorHAnsi" w:cstheme="minorHAnsi"/>
          <w:b/>
          <w:bCs/>
          <w:sz w:val="24"/>
          <w:szCs w:val="24"/>
        </w:rPr>
        <w:t>Priority and Matching Funds</w:t>
      </w:r>
      <w:r w:rsidRPr="00F25F63">
        <w:rPr>
          <w:rFonts w:asciiTheme="minorHAnsi" w:eastAsiaTheme="minorEastAsia" w:hAnsiTheme="minorHAnsi" w:cstheme="minorHAnsi"/>
          <w:sz w:val="24"/>
          <w:szCs w:val="24"/>
        </w:rPr>
        <w:t xml:space="preserve">: </w:t>
      </w:r>
      <w:r w:rsidR="573D2983" w:rsidRPr="00F25F63">
        <w:rPr>
          <w:rFonts w:asciiTheme="minorHAnsi" w:eastAsiaTheme="minorEastAsia" w:hAnsiTheme="minorHAnsi" w:cstheme="minorHAnsi"/>
          <w:sz w:val="24"/>
          <w:szCs w:val="24"/>
        </w:rPr>
        <w:t>Priority for funding is given to requests where departments or RSOs contribute from their own accounts. Matching funds for university facility projects may include a time limit to secure the match, considering the strategic needs and potential benefits to the student community.</w:t>
      </w:r>
      <w:r w:rsidR="573D2983" w:rsidRPr="00F25F63">
        <w:rPr>
          <w:rFonts w:asciiTheme="minorHAnsi" w:eastAsiaTheme="minorEastAsia" w:hAnsiTheme="minorHAnsi" w:cstheme="minorHAnsi"/>
          <w:b/>
          <w:bCs/>
          <w:sz w:val="24"/>
          <w:szCs w:val="24"/>
        </w:rPr>
        <w:t xml:space="preserve"> </w:t>
      </w:r>
    </w:p>
    <w:p w14:paraId="4512D9C9" w14:textId="7BB20281" w:rsidR="44AE34D0" w:rsidRPr="00F25F63" w:rsidRDefault="273C4519" w:rsidP="36AAE7F3">
      <w:pPr>
        <w:pStyle w:val="ListParagraph"/>
        <w:numPr>
          <w:ilvl w:val="0"/>
          <w:numId w:val="5"/>
        </w:numPr>
        <w:spacing w:before="240" w:after="24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 xml:space="preserve">Departmental Funding Prioritization: </w:t>
      </w:r>
      <w:r w:rsidRPr="00F25F63">
        <w:rPr>
          <w:rFonts w:asciiTheme="minorHAnsi" w:eastAsiaTheme="minorEastAsia" w:hAnsiTheme="minorHAnsi" w:cstheme="minorHAnsi"/>
          <w:sz w:val="24"/>
          <w:szCs w:val="24"/>
        </w:rPr>
        <w:t>Departmental funding requests must be prioritized by the Dean, Vice President, or Division Head if multiple items are requested. This ensures strategic allocation based on broader institutional priorities.</w:t>
      </w:r>
    </w:p>
    <w:p w14:paraId="6DCADDED" w14:textId="0F8B441D" w:rsidR="312D7BB2" w:rsidRPr="00F25F63" w:rsidRDefault="573D2983" w:rsidP="36AAE7F3">
      <w:pPr>
        <w:pStyle w:val="ListParagraph"/>
        <w:numPr>
          <w:ilvl w:val="0"/>
          <w:numId w:val="5"/>
        </w:numPr>
        <w:spacing w:before="240" w:after="24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 xml:space="preserve">Facility Funding and University Projects: </w:t>
      </w:r>
      <w:r w:rsidRPr="00F25F63">
        <w:rPr>
          <w:rFonts w:asciiTheme="minorHAnsi" w:eastAsiaTheme="minorEastAsia" w:hAnsiTheme="minorHAnsi" w:cstheme="minorHAnsi"/>
          <w:sz w:val="24"/>
          <w:szCs w:val="24"/>
        </w:rPr>
        <w:t>Funding for university facilities and significant projects may include one-time funding, matching funds, or bonded funds. These funds are considered on a case-by-case basis, especially if the facility or project is designated for student or organizational use.</w:t>
      </w:r>
    </w:p>
    <w:p w14:paraId="3B85F234" w14:textId="16D3D133" w:rsidR="49FA2515" w:rsidRPr="00F25F63" w:rsidRDefault="6D142AD2" w:rsidP="36AAE7F3">
      <w:pPr>
        <w:pStyle w:val="ListParagraph"/>
        <w:numPr>
          <w:ilvl w:val="0"/>
          <w:numId w:val="5"/>
        </w:numPr>
        <w:spacing w:before="240" w:after="24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Probation and Funding Return</w:t>
      </w:r>
      <w:r w:rsidRPr="00F25F63">
        <w:rPr>
          <w:rFonts w:asciiTheme="minorHAnsi" w:eastAsiaTheme="minorEastAsia" w:hAnsiTheme="minorHAnsi" w:cstheme="minorHAnsi"/>
          <w:sz w:val="24"/>
          <w:szCs w:val="24"/>
        </w:rPr>
        <w:t>: Failure to provide required documentation within two weeks post-event, or changes to event details without timely notification, will result in probation and potential ineligibility for future funding for two academic years. Unused or misallocated funds must be returned to the supplemental funding pool.</w:t>
      </w:r>
      <w:r w:rsidRPr="00F25F63">
        <w:rPr>
          <w:rFonts w:asciiTheme="minorHAnsi" w:eastAsiaTheme="minorEastAsia" w:hAnsiTheme="minorHAnsi" w:cstheme="minorHAnsi"/>
          <w:b/>
          <w:bCs/>
          <w:sz w:val="24"/>
          <w:szCs w:val="24"/>
        </w:rPr>
        <w:t xml:space="preserve"> </w:t>
      </w:r>
    </w:p>
    <w:p w14:paraId="63C68758" w14:textId="70AD7504" w:rsidR="47D7688B" w:rsidRPr="00F25F63" w:rsidRDefault="4C3350D7" w:rsidP="36AAE7F3">
      <w:pPr>
        <w:pStyle w:val="ListParagraph"/>
        <w:numPr>
          <w:ilvl w:val="0"/>
          <w:numId w:val="5"/>
        </w:numPr>
        <w:spacing w:before="240" w:after="24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Emergency and Reserve Funding</w:t>
      </w:r>
      <w:r w:rsidRPr="00F25F63">
        <w:rPr>
          <w:rFonts w:asciiTheme="minorHAnsi" w:eastAsiaTheme="minorEastAsia" w:hAnsiTheme="minorHAnsi" w:cstheme="minorHAnsi"/>
          <w:sz w:val="24"/>
          <w:szCs w:val="24"/>
        </w:rPr>
        <w:t>: An 8% reserve is set aside each academic year to cover any unforeseen emergency funding, which is only utilized with approval from the ULM President.</w:t>
      </w:r>
    </w:p>
    <w:p w14:paraId="76CEB7AE" w14:textId="3FD93AEC" w:rsidR="47D7688B" w:rsidRPr="00F25F63" w:rsidRDefault="4C3350D7" w:rsidP="36AAE7F3">
      <w:pPr>
        <w:pStyle w:val="ListParagraph"/>
        <w:numPr>
          <w:ilvl w:val="0"/>
          <w:numId w:val="5"/>
        </w:numPr>
        <w:spacing w:before="240" w:after="240"/>
        <w:rPr>
          <w:rFonts w:asciiTheme="minorHAnsi" w:eastAsiaTheme="minorEastAsia" w:hAnsiTheme="minorHAnsi" w:cstheme="minorHAnsi"/>
          <w:sz w:val="24"/>
          <w:szCs w:val="24"/>
        </w:rPr>
      </w:pPr>
      <w:r w:rsidRPr="00F25F63">
        <w:rPr>
          <w:rFonts w:asciiTheme="minorHAnsi" w:eastAsiaTheme="minorEastAsia" w:hAnsiTheme="minorHAnsi" w:cstheme="minorHAnsi"/>
          <w:b/>
          <w:bCs/>
          <w:sz w:val="24"/>
          <w:szCs w:val="24"/>
        </w:rPr>
        <w:t>Exceptions and Special Cases</w:t>
      </w:r>
      <w:r w:rsidRPr="00F25F63">
        <w:rPr>
          <w:rFonts w:asciiTheme="minorHAnsi" w:eastAsiaTheme="minorEastAsia" w:hAnsiTheme="minorHAnsi" w:cstheme="minorHAnsi"/>
          <w:sz w:val="24"/>
          <w:szCs w:val="24"/>
        </w:rPr>
        <w:t>: Exceptions to this policy will only be made in extenuating circumstances where a sports team, club sport, or departmental team has an opportunity to represent the university in a significant event. E-mail voting may be utilized if necessary.</w:t>
      </w:r>
    </w:p>
    <w:p w14:paraId="5E34267F" w14:textId="77777777" w:rsidR="009C60B1" w:rsidRPr="00F25F63" w:rsidRDefault="009C60B1"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6" w:name="_VI._Enforcement"/>
      <w:bookmarkEnd w:id="6"/>
      <w:r w:rsidRPr="00F25F63">
        <w:rPr>
          <w:rFonts w:asciiTheme="minorHAnsi" w:hAnsiTheme="minorHAnsi" w:cstheme="minorHAnsi"/>
        </w:rPr>
        <w:tab/>
        <w:t>Enforcement</w:t>
      </w:r>
    </w:p>
    <w:p w14:paraId="7E207ADD" w14:textId="330BC62B" w:rsidR="3A48DF73" w:rsidRPr="00F25F63" w:rsidRDefault="42482FFD" w:rsidP="36AAE7F3">
      <w:pPr>
        <w:spacing w:before="160" w:after="240"/>
        <w:rPr>
          <w:rFonts w:asciiTheme="minorHAnsi" w:eastAsia="Calibri" w:hAnsiTheme="minorHAnsi" w:cstheme="minorHAnsi"/>
        </w:rPr>
      </w:pPr>
      <w:r w:rsidRPr="00F25F63">
        <w:rPr>
          <w:rFonts w:asciiTheme="minorHAnsi" w:eastAsia="Calibri" w:hAnsiTheme="minorHAnsi" w:cstheme="minorHAnsi"/>
        </w:rPr>
        <w:t>The SSAFO Oversight Committee enforces the policy with support from the Chief Business Affairs Officer and the Chief Student Affairs Officer. Sanctions for non-compliance include denial of future funding and probation for failing to use funds appropriately. Specific criteria for committee composition and voting, including the roles of alternates, are established to ensure proper governance and accountability.</w:t>
      </w:r>
    </w:p>
    <w:p w14:paraId="07B64523" w14:textId="77777777" w:rsidR="009C60B1" w:rsidRPr="00F25F63" w:rsidRDefault="009C60B1" w:rsidP="00DB49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7" w:name="_VII._Policy_Management"/>
      <w:bookmarkEnd w:id="7"/>
      <w:r w:rsidRPr="00F25F63">
        <w:rPr>
          <w:rFonts w:asciiTheme="minorHAnsi" w:hAnsiTheme="minorHAnsi" w:cstheme="minorHAnsi"/>
        </w:rPr>
        <w:tab/>
        <w:t>Policy Management</w:t>
      </w:r>
    </w:p>
    <w:p w14:paraId="3656B9AB" w14:textId="408F9D1B" w:rsidR="005949FB" w:rsidRPr="00F25F63" w:rsidRDefault="28C54DA9" w:rsidP="06636B6A">
      <w:pPr>
        <w:spacing w:before="160" w:after="240"/>
        <w:rPr>
          <w:rFonts w:asciiTheme="minorHAnsi" w:hAnsiTheme="minorHAnsi" w:cstheme="minorHAnsi"/>
        </w:rPr>
      </w:pPr>
      <w:r w:rsidRPr="00F25F63">
        <w:rPr>
          <w:rFonts w:asciiTheme="minorHAnsi" w:eastAsia="Calibri" w:hAnsiTheme="minorHAnsi" w:cstheme="minorHAnsi"/>
        </w:rPr>
        <w:t>Managed by the SSAFO Committee in conjunction with the Chief Business Affairs Officer and the Chief Student Affairs Officer.</w:t>
      </w:r>
    </w:p>
    <w:p w14:paraId="63BD75B6" w14:textId="77777777" w:rsidR="009C60B1" w:rsidRPr="00F25F63" w:rsidRDefault="009C60B1" w:rsidP="00DB4992">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8" w:name="_VIII._Exclusions"/>
      <w:bookmarkEnd w:id="8"/>
      <w:r w:rsidRPr="00F25F63">
        <w:rPr>
          <w:rFonts w:asciiTheme="minorHAnsi" w:hAnsiTheme="minorHAnsi" w:cstheme="minorHAnsi"/>
        </w:rPr>
        <w:tab/>
        <w:t>Exclusions</w:t>
      </w:r>
    </w:p>
    <w:p w14:paraId="45FB0818" w14:textId="15D8F8C5" w:rsidR="005949FB" w:rsidRDefault="743AF21E" w:rsidP="06636B6A">
      <w:pPr>
        <w:spacing w:before="160" w:after="240"/>
        <w:rPr>
          <w:rFonts w:asciiTheme="minorHAnsi" w:eastAsia="Calibri" w:hAnsiTheme="minorHAnsi" w:cstheme="minorHAnsi"/>
        </w:rPr>
      </w:pPr>
      <w:r w:rsidRPr="00F25F63">
        <w:rPr>
          <w:rFonts w:asciiTheme="minorHAnsi" w:eastAsia="Calibri" w:hAnsiTheme="minorHAnsi" w:cstheme="minorHAnsi"/>
        </w:rPr>
        <w:t>Exceptions for funding limits and eligibility may apply in extenuating circumstances or special events as determined by the SSAFO Committee.</w:t>
      </w:r>
    </w:p>
    <w:p w14:paraId="3FCC6A71" w14:textId="77777777" w:rsidR="006F202D" w:rsidRPr="00F25F63" w:rsidRDefault="006F202D" w:rsidP="06636B6A">
      <w:pPr>
        <w:spacing w:before="160" w:after="240"/>
        <w:rPr>
          <w:rFonts w:asciiTheme="minorHAnsi" w:hAnsiTheme="minorHAnsi" w:cstheme="minorHAnsi"/>
        </w:rPr>
      </w:pPr>
    </w:p>
    <w:p w14:paraId="0F29B538" w14:textId="77777777" w:rsidR="009C60B1" w:rsidRPr="00F25F63" w:rsidRDefault="009C60B1" w:rsidP="00DB4992">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9" w:name="_IX._Effective_Date"/>
      <w:bookmarkEnd w:id="9"/>
      <w:r w:rsidRPr="00F25F63">
        <w:rPr>
          <w:rFonts w:asciiTheme="minorHAnsi" w:hAnsiTheme="minorHAnsi" w:cstheme="minorHAnsi"/>
        </w:rPr>
        <w:tab/>
        <w:t>Effective Date</w:t>
      </w:r>
    </w:p>
    <w:p w14:paraId="05458EF8" w14:textId="2DD9EB89" w:rsidR="5F55897B" w:rsidRPr="00F25F63" w:rsidRDefault="006F202D" w:rsidP="06636B6A">
      <w:pPr>
        <w:spacing w:before="160" w:after="240" w:line="259" w:lineRule="auto"/>
        <w:rPr>
          <w:rFonts w:asciiTheme="minorHAnsi" w:hAnsiTheme="minorHAnsi" w:cstheme="minorHAnsi"/>
        </w:rPr>
      </w:pPr>
      <w:r>
        <w:rPr>
          <w:rFonts w:asciiTheme="minorHAnsi" w:hAnsiTheme="minorHAnsi" w:cstheme="minorHAnsi"/>
        </w:rPr>
        <w:t>February 12</w:t>
      </w:r>
      <w:r w:rsidR="5F55897B" w:rsidRPr="00F25F63">
        <w:rPr>
          <w:rFonts w:asciiTheme="minorHAnsi" w:hAnsiTheme="minorHAnsi" w:cstheme="minorHAnsi"/>
        </w:rPr>
        <w:t>, 2025</w:t>
      </w:r>
    </w:p>
    <w:p w14:paraId="4F43C834" w14:textId="77777777" w:rsidR="009C60B1" w:rsidRPr="00F25F63" w:rsidRDefault="009C60B1" w:rsidP="00DB4992">
      <w:pPr>
        <w:pStyle w:val="Heading3"/>
        <w:numPr>
          <w:ilvl w:val="0"/>
          <w:numId w:val="4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0" w:name="_X._Adoption_Date"/>
      <w:bookmarkEnd w:id="10"/>
      <w:r w:rsidRPr="00F25F63">
        <w:rPr>
          <w:rFonts w:asciiTheme="minorHAnsi" w:hAnsiTheme="minorHAnsi" w:cstheme="minorHAnsi"/>
        </w:rPr>
        <w:tab/>
        <w:t xml:space="preserve">Adoption </w:t>
      </w:r>
    </w:p>
    <w:p w14:paraId="565F0A60" w14:textId="03339D57" w:rsidR="009C60B1" w:rsidRPr="00F25F63" w:rsidRDefault="005949FB" w:rsidP="000D1A7A">
      <w:pPr>
        <w:tabs>
          <w:tab w:val="left" w:pos="720"/>
        </w:tabs>
        <w:spacing w:before="160" w:after="240"/>
        <w:rPr>
          <w:rFonts w:asciiTheme="minorHAnsi" w:hAnsiTheme="minorHAnsi" w:cstheme="minorHAnsi"/>
        </w:rPr>
      </w:pPr>
      <w:r w:rsidRPr="00F25F63">
        <w:rPr>
          <w:rFonts w:asciiTheme="minorHAnsi" w:hAnsiTheme="minorHAnsi" w:cstheme="minorHAnsi"/>
        </w:rPr>
        <w:t>This polic</w:t>
      </w:r>
      <w:r w:rsidR="00250889">
        <w:rPr>
          <w:rFonts w:asciiTheme="minorHAnsi" w:hAnsiTheme="minorHAnsi" w:cstheme="minorHAnsi"/>
        </w:rPr>
        <w:t>y is hereby adopted on this 12th day of February 2025</w:t>
      </w:r>
      <w:r w:rsidRPr="00F25F63">
        <w:rPr>
          <w:rFonts w:asciiTheme="minorHAnsi" w:hAnsiTheme="minorHAnsi" w:cstheme="minorHAnsi"/>
        </w:rPr>
        <w:t>.</w:t>
      </w:r>
    </w:p>
    <w:p w14:paraId="2D3DB0B4" w14:textId="68E81910" w:rsidR="005949FB" w:rsidRPr="00F25F63" w:rsidRDefault="000E35B6" w:rsidP="000D1A7A">
      <w:pPr>
        <w:tabs>
          <w:tab w:val="left" w:pos="720"/>
        </w:tabs>
        <w:spacing w:after="240"/>
        <w:rPr>
          <w:rFonts w:asciiTheme="minorHAnsi" w:hAnsiTheme="minorHAnsi" w:cstheme="minorHAnsi"/>
        </w:rPr>
      </w:pPr>
      <w:r w:rsidRPr="008D4195">
        <w:rPr>
          <w:rFonts w:asciiTheme="minorHAnsi" w:hAnsiTheme="minorHAnsi" w:cstheme="minorHAnsi"/>
          <w:iCs/>
          <w:noProof/>
        </w:rPr>
        <w:drawing>
          <wp:anchor distT="0" distB="0" distL="114300" distR="114300" simplePos="0" relativeHeight="251660288" behindDoc="0" locked="0" layoutInCell="1" allowOverlap="1" wp14:anchorId="456B67F5" wp14:editId="152ABBBF">
            <wp:simplePos x="0" y="0"/>
            <wp:positionH relativeFrom="column">
              <wp:posOffset>419100</wp:posOffset>
            </wp:positionH>
            <wp:positionV relativeFrom="paragraph">
              <wp:posOffset>190500</wp:posOffset>
            </wp:positionV>
            <wp:extent cx="2019300" cy="842010"/>
            <wp:effectExtent l="0" t="0" r="0" b="0"/>
            <wp:wrapNone/>
            <wp:docPr id="1" name="Picture 1" descr="Dr. Valerie Field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Valerie Field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0CF" w:rsidRPr="00F25F63">
        <w:rPr>
          <w:rFonts w:asciiTheme="minorHAnsi" w:hAnsiTheme="minorHAnsi" w:cstheme="minorHAnsi"/>
        </w:rPr>
        <w:t xml:space="preserve">Recommended for Approval by: </w:t>
      </w:r>
      <w:r w:rsidR="009D20CF" w:rsidRPr="00F25F63">
        <w:rPr>
          <w:rFonts w:asciiTheme="minorHAnsi" w:hAnsiTheme="minorHAnsi" w:cstheme="minorHAnsi"/>
        </w:rPr>
        <w:tab/>
      </w:r>
      <w:r w:rsidR="009D20CF" w:rsidRPr="00F25F63">
        <w:rPr>
          <w:rFonts w:asciiTheme="minorHAnsi" w:hAnsiTheme="minorHAnsi" w:cstheme="minorHAnsi"/>
        </w:rPr>
        <w:tab/>
      </w:r>
      <w:r w:rsidR="009D20CF" w:rsidRPr="00F25F63">
        <w:rPr>
          <w:rFonts w:asciiTheme="minorHAnsi" w:hAnsiTheme="minorHAnsi" w:cstheme="minorHAnsi"/>
        </w:rPr>
        <w:tab/>
      </w:r>
      <w:r w:rsidR="009D20CF" w:rsidRPr="00F25F63">
        <w:rPr>
          <w:rFonts w:asciiTheme="minorHAnsi" w:hAnsiTheme="minorHAnsi" w:cstheme="minorHAnsi"/>
        </w:rPr>
        <w:tab/>
        <w:t>Approved by:</w:t>
      </w:r>
      <w:r w:rsidR="009D20CF" w:rsidRPr="00F25F63">
        <w:rPr>
          <w:rFonts w:asciiTheme="minorHAnsi" w:hAnsiTheme="minorHAnsi" w:cstheme="minorHAnsi"/>
        </w:rPr>
        <w:tab/>
      </w:r>
      <w:r w:rsidR="009D20CF" w:rsidRPr="00F25F63">
        <w:rPr>
          <w:rFonts w:asciiTheme="minorHAnsi" w:hAnsiTheme="minorHAnsi" w:cstheme="minorHAnsi"/>
        </w:rPr>
        <w:tab/>
      </w:r>
    </w:p>
    <w:p w14:paraId="53128261" w14:textId="1A949A3C" w:rsidR="000E6DF3" w:rsidRPr="00F25F63" w:rsidRDefault="000E35B6" w:rsidP="000D1A7A">
      <w:pPr>
        <w:tabs>
          <w:tab w:val="left" w:pos="720"/>
        </w:tabs>
        <w:spacing w:after="240"/>
        <w:rPr>
          <w:rFonts w:asciiTheme="minorHAnsi" w:hAnsiTheme="minorHAnsi" w:cstheme="minorHAnsi"/>
        </w:rPr>
      </w:pPr>
      <w:r w:rsidRPr="0056218D">
        <w:rPr>
          <w:rFonts w:asciiTheme="minorHAnsi" w:hAnsiTheme="minorHAnsi"/>
          <w:noProof/>
        </w:rPr>
        <w:drawing>
          <wp:anchor distT="0" distB="0" distL="114300" distR="114300" simplePos="0" relativeHeight="251662336" behindDoc="0" locked="0" layoutInCell="1" allowOverlap="1" wp14:anchorId="67AE2FA4" wp14:editId="13FA370E">
            <wp:simplePos x="0" y="0"/>
            <wp:positionH relativeFrom="column">
              <wp:posOffset>4276725</wp:posOffset>
            </wp:positionH>
            <wp:positionV relativeFrom="paragraph">
              <wp:posOffset>4445</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2BE111" w14:textId="660CF80B" w:rsidR="009D20CF" w:rsidRPr="00F25F63" w:rsidRDefault="000D1A7A" w:rsidP="009D20CF">
      <w:pPr>
        <w:rPr>
          <w:rFonts w:asciiTheme="minorHAnsi" w:hAnsiTheme="minorHAnsi" w:cstheme="minorHAnsi"/>
        </w:rPr>
      </w:pPr>
      <w:r w:rsidRPr="00F25F63">
        <w:rPr>
          <w:rFonts w:asciiTheme="minorHAnsi" w:hAnsiTheme="minorHAnsi" w:cstheme="minorHAnsi"/>
        </w:rPr>
        <w:t>______</w:t>
      </w:r>
      <w:r w:rsidR="00550156" w:rsidRPr="00F25F63">
        <w:rPr>
          <w:rFonts w:asciiTheme="minorHAnsi" w:hAnsiTheme="minorHAnsi" w:cstheme="minorHAnsi"/>
        </w:rPr>
        <w:t>______________________________</w:t>
      </w:r>
      <w:r w:rsidR="009D20CF" w:rsidRPr="00F25F63">
        <w:rPr>
          <w:rFonts w:asciiTheme="minorHAnsi" w:hAnsiTheme="minorHAnsi" w:cstheme="minorHAnsi"/>
        </w:rPr>
        <w:tab/>
      </w:r>
      <w:r w:rsidR="009D20CF" w:rsidRPr="00F25F63">
        <w:rPr>
          <w:rFonts w:asciiTheme="minorHAnsi" w:hAnsiTheme="minorHAnsi" w:cstheme="minorHAnsi"/>
        </w:rPr>
        <w:tab/>
      </w:r>
      <w:r w:rsidR="009D20CF" w:rsidRPr="00F25F63">
        <w:rPr>
          <w:rFonts w:asciiTheme="minorHAnsi" w:hAnsiTheme="minorHAnsi" w:cstheme="minorHAnsi"/>
        </w:rPr>
        <w:tab/>
        <w:t>____________________________________</w:t>
      </w:r>
      <w:r w:rsidR="009D20CF" w:rsidRPr="00F25F63">
        <w:rPr>
          <w:rFonts w:asciiTheme="minorHAnsi" w:hAnsiTheme="minorHAnsi" w:cstheme="minorHAnsi"/>
        </w:rPr>
        <w:tab/>
      </w:r>
    </w:p>
    <w:p w14:paraId="4CB7F052" w14:textId="33A9182A" w:rsidR="00550156" w:rsidRPr="00F25F63" w:rsidRDefault="000E35B6" w:rsidP="06636B6A">
      <w:pPr>
        <w:tabs>
          <w:tab w:val="left" w:pos="720"/>
        </w:tabs>
        <w:spacing w:after="240"/>
        <w:rPr>
          <w:rFonts w:asciiTheme="minorHAnsi" w:hAnsiTheme="minorHAnsi" w:cstheme="minorHAnsi"/>
        </w:rPr>
      </w:pPr>
      <w:r>
        <w:rPr>
          <w:rFonts w:asciiTheme="minorHAnsi" w:hAnsiTheme="minorHAnsi" w:cstheme="minorHAnsi"/>
        </w:rPr>
        <w:t xml:space="preserve">     </w:t>
      </w:r>
      <w:r w:rsidR="75678C48" w:rsidRPr="00F25F63">
        <w:rPr>
          <w:rFonts w:asciiTheme="minorHAnsi" w:hAnsiTheme="minorHAnsi" w:cstheme="minorHAnsi"/>
        </w:rPr>
        <w:t>Dr</w:t>
      </w:r>
      <w:r>
        <w:rPr>
          <w:rFonts w:asciiTheme="minorHAnsi" w:hAnsiTheme="minorHAnsi" w:cstheme="minorHAnsi"/>
        </w:rPr>
        <w:t>. Valerie Fields, VP</w:t>
      </w:r>
      <w:r w:rsidR="75678C48" w:rsidRPr="00F25F63">
        <w:rPr>
          <w:rFonts w:asciiTheme="minorHAnsi" w:hAnsiTheme="minorHAnsi" w:cstheme="minorHAnsi"/>
        </w:rPr>
        <w:t xml:space="preserve"> for Student Affairs </w:t>
      </w:r>
      <w:r w:rsidR="009D20CF" w:rsidRPr="00F25F63">
        <w:rPr>
          <w:rFonts w:asciiTheme="minorHAnsi" w:hAnsiTheme="minorHAnsi" w:cstheme="minorHAnsi"/>
          <w:b/>
          <w:bCs/>
        </w:rPr>
        <w:t xml:space="preserve">            </w:t>
      </w:r>
      <w:r>
        <w:rPr>
          <w:rFonts w:asciiTheme="minorHAnsi" w:hAnsiTheme="minorHAnsi" w:cstheme="minorHAnsi"/>
          <w:b/>
          <w:bCs/>
        </w:rPr>
        <w:t xml:space="preserve">                             </w:t>
      </w:r>
      <w:r w:rsidR="009D20CF" w:rsidRPr="00F25F63">
        <w:rPr>
          <w:rFonts w:asciiTheme="minorHAnsi" w:hAnsiTheme="minorHAnsi" w:cstheme="minorHAnsi"/>
          <w:b/>
          <w:bCs/>
        </w:rPr>
        <w:t xml:space="preserve"> </w:t>
      </w:r>
      <w:r w:rsidR="00A53739" w:rsidRPr="00F25F63">
        <w:rPr>
          <w:rFonts w:asciiTheme="minorHAnsi" w:hAnsiTheme="minorHAnsi" w:cstheme="minorHAnsi"/>
        </w:rPr>
        <w:t>Dr. Ronald L. Berry,</w:t>
      </w:r>
      <w:r w:rsidR="00740EAA" w:rsidRPr="00F25F63">
        <w:rPr>
          <w:rFonts w:asciiTheme="minorHAnsi" w:hAnsiTheme="minorHAnsi" w:cstheme="minorHAnsi"/>
        </w:rPr>
        <w:t xml:space="preserve"> </w:t>
      </w:r>
      <w:r w:rsidR="009D20CF" w:rsidRPr="00F25F63">
        <w:rPr>
          <w:rFonts w:asciiTheme="minorHAnsi" w:hAnsiTheme="minorHAnsi" w:cstheme="minorHAnsi"/>
        </w:rPr>
        <w:t>President</w:t>
      </w:r>
    </w:p>
    <w:p w14:paraId="190CEBB0" w14:textId="77777777" w:rsidR="00B34DF6" w:rsidRPr="00F25F63" w:rsidRDefault="00B34DF6" w:rsidP="00DB4992">
      <w:pPr>
        <w:pStyle w:val="Heading3"/>
        <w:numPr>
          <w:ilvl w:val="0"/>
          <w:numId w:val="4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1" w:name="_XI._References_and"/>
      <w:bookmarkStart w:id="12" w:name="_XI._Appendices,_References"/>
      <w:bookmarkEnd w:id="11"/>
      <w:bookmarkEnd w:id="12"/>
      <w:r w:rsidRPr="00F25F63">
        <w:rPr>
          <w:rFonts w:asciiTheme="minorHAnsi" w:hAnsiTheme="minorHAnsi" w:cstheme="minorHAnsi"/>
        </w:rPr>
        <w:tab/>
      </w:r>
      <w:r w:rsidR="00DC6236" w:rsidRPr="00F25F63">
        <w:rPr>
          <w:rFonts w:asciiTheme="minorHAnsi" w:hAnsiTheme="minorHAnsi" w:cstheme="minorHAnsi"/>
        </w:rPr>
        <w:t xml:space="preserve">Appendices, </w:t>
      </w:r>
      <w:r w:rsidR="008B5DDB" w:rsidRPr="00F25F63">
        <w:rPr>
          <w:rFonts w:asciiTheme="minorHAnsi" w:hAnsiTheme="minorHAnsi" w:cstheme="minorHAnsi"/>
        </w:rPr>
        <w:t>References and Related Materials</w:t>
      </w:r>
    </w:p>
    <w:p w14:paraId="16933889" w14:textId="70701CC4" w:rsidR="00861A4C" w:rsidRPr="00861A4C" w:rsidRDefault="064549B2" w:rsidP="06636B6A">
      <w:pPr>
        <w:spacing w:before="160" w:after="240" w:line="259" w:lineRule="auto"/>
        <w:rPr>
          <w:rFonts w:asciiTheme="minorHAnsi" w:hAnsiTheme="minorHAnsi" w:cstheme="minorHAnsi"/>
        </w:rPr>
      </w:pPr>
      <w:r w:rsidRPr="00F25F63">
        <w:rPr>
          <w:rFonts w:asciiTheme="minorHAnsi" w:hAnsiTheme="minorHAnsi" w:cstheme="minorHAnsi"/>
        </w:rPr>
        <w:t xml:space="preserve">SAEF Request Form: </w:t>
      </w:r>
      <w:r w:rsidR="00861A4C">
        <w:rPr>
          <w:rFonts w:asciiTheme="minorHAnsi" w:hAnsiTheme="minorHAnsi" w:cstheme="minorHAnsi"/>
        </w:rPr>
        <w:t xml:space="preserve">  </w:t>
      </w:r>
      <w:r w:rsidR="00861A4C">
        <w:rPr>
          <w:rFonts w:asciiTheme="minorHAnsi" w:hAnsiTheme="minorHAnsi" w:cstheme="minorHAnsi"/>
        </w:rPr>
        <w:fldChar w:fldCharType="begin"/>
      </w:r>
      <w:r w:rsidR="00861A4C">
        <w:rPr>
          <w:rFonts w:asciiTheme="minorHAnsi" w:hAnsiTheme="minorHAnsi" w:cstheme="minorHAnsi"/>
        </w:rPr>
        <w:instrText>HYPERLINK "</w:instrText>
      </w:r>
      <w:r w:rsidR="00861A4C" w:rsidRPr="00861A4C">
        <w:rPr>
          <w:rFonts w:asciiTheme="minorHAnsi" w:hAnsiTheme="minorHAnsi" w:cstheme="minorHAnsi"/>
        </w:rPr>
        <w:instrText>https://www.ulm.edu/studentdevelopment/saef.html</w:instrText>
      </w:r>
    </w:p>
    <w:p w14:paraId="28ECA3A8" w14:textId="77777777" w:rsidR="00861A4C" w:rsidRPr="00423E55" w:rsidRDefault="00861A4C" w:rsidP="06636B6A">
      <w:pPr>
        <w:spacing w:before="160" w:after="240" w:line="259" w:lineRule="auto"/>
        <w:rPr>
          <w:rStyle w:val="Hyperlink"/>
          <w:rFonts w:asciiTheme="minorHAnsi" w:hAnsiTheme="minorHAnsi" w:cstheme="minorHAnsi"/>
        </w:rPr>
      </w:pPr>
      <w:r>
        <w:rPr>
          <w:rFonts w:asciiTheme="minorHAnsi" w:hAnsiTheme="minorHAnsi" w:cstheme="minorHAnsi"/>
        </w:rPr>
        <w:instrText>"</w:instrText>
      </w:r>
      <w:r>
        <w:rPr>
          <w:rFonts w:asciiTheme="minorHAnsi" w:hAnsiTheme="minorHAnsi" w:cstheme="minorHAnsi"/>
        </w:rPr>
      </w:r>
      <w:r>
        <w:rPr>
          <w:rFonts w:asciiTheme="minorHAnsi" w:hAnsiTheme="minorHAnsi" w:cstheme="minorHAnsi"/>
        </w:rPr>
        <w:fldChar w:fldCharType="separate"/>
      </w:r>
      <w:r w:rsidRPr="00423E55">
        <w:rPr>
          <w:rStyle w:val="Hyperlink"/>
          <w:rFonts w:asciiTheme="minorHAnsi" w:hAnsiTheme="minorHAnsi" w:cstheme="minorHAnsi"/>
        </w:rPr>
        <w:t>https://www.ulm.edu/studentdevelopment/saef.html</w:t>
      </w:r>
    </w:p>
    <w:p w14:paraId="2BF0D8AF" w14:textId="194F2D3D" w:rsidR="00DC6236" w:rsidRPr="00F25F63" w:rsidRDefault="00861A4C" w:rsidP="00DB4992">
      <w:pPr>
        <w:pStyle w:val="Heading3"/>
        <w:numPr>
          <w:ilvl w:val="0"/>
          <w:numId w:val="45"/>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cstheme="minorHAnsi"/>
        </w:rPr>
      </w:pPr>
      <w:r>
        <w:rPr>
          <w:rFonts w:asciiTheme="minorHAnsi" w:hAnsiTheme="minorHAnsi" w:cstheme="minorHAnsi"/>
        </w:rPr>
        <w:fldChar w:fldCharType="end"/>
      </w:r>
      <w:bookmarkStart w:id="13" w:name="_XII._Revision_History"/>
      <w:bookmarkEnd w:id="13"/>
      <w:r w:rsidR="00DC6236" w:rsidRPr="00F25F63">
        <w:rPr>
          <w:rFonts w:asciiTheme="minorHAnsi" w:hAnsiTheme="minorHAnsi" w:cstheme="minorHAnsi"/>
        </w:rPr>
        <w:tab/>
        <w:t>Revision History</w:t>
      </w:r>
      <w:r w:rsidR="00DC6236" w:rsidRPr="00F25F63">
        <w:rPr>
          <w:rFonts w:asciiTheme="minorHAnsi" w:hAnsiTheme="minorHAnsi" w:cstheme="minorHAnsi"/>
        </w:rPr>
        <w:tab/>
      </w:r>
    </w:p>
    <w:p w14:paraId="354047E6" w14:textId="5D41D54E" w:rsidR="4B3F2554" w:rsidRPr="00F25F63" w:rsidRDefault="7E92C021" w:rsidP="36AAE7F3">
      <w:pPr>
        <w:pStyle w:val="ListParagraph"/>
        <w:numPr>
          <w:ilvl w:val="0"/>
          <w:numId w:val="5"/>
        </w:numPr>
        <w:spacing w:before="240" w:after="240"/>
        <w:rPr>
          <w:rFonts w:asciiTheme="minorHAnsi" w:hAnsiTheme="minorHAnsi" w:cstheme="minorHAnsi"/>
          <w:sz w:val="24"/>
          <w:szCs w:val="24"/>
        </w:rPr>
      </w:pPr>
      <w:r w:rsidRPr="00F25F63">
        <w:rPr>
          <w:rFonts w:asciiTheme="minorHAnsi" w:hAnsiTheme="minorHAnsi" w:cstheme="minorHAnsi"/>
          <w:b/>
          <w:bCs/>
          <w:sz w:val="24"/>
          <w:szCs w:val="24"/>
        </w:rPr>
        <w:t>Initial Policy Adoption</w:t>
      </w:r>
      <w:r w:rsidRPr="00F25F63">
        <w:rPr>
          <w:rFonts w:asciiTheme="minorHAnsi" w:hAnsiTheme="minorHAnsi" w:cstheme="minorHAnsi"/>
          <w:sz w:val="24"/>
          <w:szCs w:val="24"/>
        </w:rPr>
        <w:t>: August 8, 2020 - Th</w:t>
      </w:r>
      <w:r w:rsidR="0BA61747" w:rsidRPr="00F25F63">
        <w:rPr>
          <w:rFonts w:asciiTheme="minorHAnsi" w:hAnsiTheme="minorHAnsi" w:cstheme="minorHAnsi"/>
          <w:sz w:val="24"/>
          <w:szCs w:val="24"/>
        </w:rPr>
        <w:t xml:space="preserve">e ULM Student Activity Enhancement Fee Funding Request Procedure </w:t>
      </w:r>
      <w:r w:rsidR="70F97AC0" w:rsidRPr="00F25F63">
        <w:rPr>
          <w:rFonts w:asciiTheme="minorHAnsi" w:hAnsiTheme="minorHAnsi" w:cstheme="minorHAnsi"/>
          <w:sz w:val="24"/>
          <w:szCs w:val="24"/>
        </w:rPr>
        <w:t xml:space="preserve">was approved </w:t>
      </w:r>
      <w:r w:rsidR="0BA61747" w:rsidRPr="00F25F63">
        <w:rPr>
          <w:rFonts w:asciiTheme="minorHAnsi" w:hAnsiTheme="minorHAnsi" w:cstheme="minorHAnsi"/>
          <w:sz w:val="24"/>
          <w:szCs w:val="24"/>
        </w:rPr>
        <w:t xml:space="preserve">by the SAEF Steering Committee. </w:t>
      </w:r>
    </w:p>
    <w:p w14:paraId="19398770" w14:textId="77777777" w:rsidR="000922FE" w:rsidRPr="000922FE" w:rsidRDefault="000922FE" w:rsidP="000922FE">
      <w:pPr>
        <w:pStyle w:val="ListParagraph"/>
        <w:spacing w:before="240" w:after="240"/>
        <w:rPr>
          <w:rFonts w:cs="Calibri"/>
          <w:sz w:val="24"/>
          <w:szCs w:val="24"/>
        </w:rPr>
      </w:pPr>
    </w:p>
    <w:p w14:paraId="0929EDFC" w14:textId="0F7867F9" w:rsidR="7E92C021" w:rsidRDefault="7E92C021" w:rsidP="36AAE7F3">
      <w:pPr>
        <w:pStyle w:val="ListParagraph"/>
        <w:numPr>
          <w:ilvl w:val="0"/>
          <w:numId w:val="5"/>
        </w:numPr>
        <w:spacing w:before="240" w:after="240"/>
        <w:rPr>
          <w:rFonts w:cs="Calibri"/>
          <w:sz w:val="24"/>
          <w:szCs w:val="24"/>
        </w:rPr>
      </w:pPr>
      <w:r w:rsidRPr="00F25F63">
        <w:rPr>
          <w:rFonts w:asciiTheme="minorHAnsi" w:hAnsiTheme="minorHAnsi" w:cstheme="minorHAnsi"/>
          <w:b/>
          <w:bCs/>
          <w:sz w:val="24"/>
          <w:szCs w:val="24"/>
        </w:rPr>
        <w:t>Latest Revision</w:t>
      </w:r>
      <w:r w:rsidR="00250889">
        <w:rPr>
          <w:rFonts w:asciiTheme="minorHAnsi" w:hAnsiTheme="minorHAnsi" w:cstheme="minorHAnsi"/>
          <w:sz w:val="24"/>
          <w:szCs w:val="24"/>
        </w:rPr>
        <w:t>: February 12</w:t>
      </w:r>
      <w:r w:rsidR="00F25F63">
        <w:rPr>
          <w:rFonts w:asciiTheme="minorHAnsi" w:hAnsiTheme="minorHAnsi" w:cstheme="minorHAnsi"/>
          <w:sz w:val="24"/>
          <w:szCs w:val="24"/>
        </w:rPr>
        <w:t>, 2025</w:t>
      </w:r>
      <w:r w:rsidRPr="00F25F63">
        <w:rPr>
          <w:rFonts w:asciiTheme="minorHAnsi" w:hAnsiTheme="minorHAnsi" w:cstheme="minorHAnsi"/>
          <w:sz w:val="24"/>
          <w:szCs w:val="24"/>
        </w:rPr>
        <w:t xml:space="preserve"> - </w:t>
      </w:r>
      <w:r w:rsidR="0874A48F" w:rsidRPr="00F25F63">
        <w:rPr>
          <w:rFonts w:asciiTheme="minorHAnsi" w:hAnsiTheme="minorHAnsi" w:cstheme="minorHAnsi"/>
          <w:sz w:val="24"/>
          <w:szCs w:val="24"/>
        </w:rPr>
        <w:t>This policy was formally adopted to establish an official document, codifying the pre-existing procedures related to the Student Activity Enhancement Fee and ensuring compliance with university governa</w:t>
      </w:r>
      <w:r w:rsidR="0874A48F" w:rsidRPr="36AAE7F3">
        <w:rPr>
          <w:rFonts w:cs="Calibri"/>
          <w:sz w:val="24"/>
          <w:szCs w:val="24"/>
        </w:rPr>
        <w:t>nce standards.</w:t>
      </w:r>
    </w:p>
    <w:sectPr w:rsidR="7E92C021" w:rsidSect="007A5E15">
      <w:footerReference w:type="default" r:id="rId14"/>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772C" w14:textId="77777777" w:rsidR="00957BA0" w:rsidRDefault="00957BA0">
      <w:r>
        <w:separator/>
      </w:r>
    </w:p>
  </w:endnote>
  <w:endnote w:type="continuationSeparator" w:id="0">
    <w:p w14:paraId="6A747C4D" w14:textId="77777777" w:rsidR="00957BA0" w:rsidRDefault="0095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2A925D13" w14:textId="7A1391A1" w:rsidR="002A45EB" w:rsidRPr="00B93AFE" w:rsidRDefault="06636B6A" w:rsidP="06636B6A">
            <w:pPr>
              <w:pStyle w:val="NoSpacing"/>
              <w:rPr>
                <w:rFonts w:asciiTheme="minorHAnsi" w:hAnsiTheme="minorHAnsi"/>
              </w:rPr>
            </w:pPr>
            <w:r w:rsidRPr="06636B6A">
              <w:rPr>
                <w:rFonts w:asciiTheme="minorHAnsi" w:hAnsiTheme="minorHAnsi"/>
              </w:rPr>
              <w:t xml:space="preserve">Student Activity Enhancement Fee Policy                                                                    </w:t>
            </w:r>
            <w:r w:rsidR="00AD3A10">
              <w:rPr>
                <w:rFonts w:asciiTheme="minorHAnsi" w:hAnsiTheme="minorHAnsi"/>
              </w:rPr>
              <w:t xml:space="preserve">                        </w:t>
            </w:r>
            <w:r w:rsidRPr="06636B6A">
              <w:rPr>
                <w:rFonts w:asciiTheme="minorHAnsi" w:hAnsiTheme="minorHAnsi"/>
              </w:rPr>
              <w:t xml:space="preserve">Page </w:t>
            </w:r>
            <w:r w:rsidR="002A45EB" w:rsidRPr="06636B6A">
              <w:rPr>
                <w:rFonts w:asciiTheme="minorHAnsi" w:hAnsiTheme="minorHAnsi"/>
                <w:noProof/>
              </w:rPr>
              <w:fldChar w:fldCharType="begin"/>
            </w:r>
            <w:r w:rsidR="002A45EB" w:rsidRPr="06636B6A">
              <w:rPr>
                <w:rFonts w:asciiTheme="minorHAnsi" w:hAnsiTheme="minorHAnsi"/>
              </w:rPr>
              <w:instrText xml:space="preserve"> PAGE </w:instrText>
            </w:r>
            <w:r w:rsidR="002A45EB" w:rsidRPr="06636B6A">
              <w:rPr>
                <w:rFonts w:asciiTheme="minorHAnsi" w:hAnsiTheme="minorHAnsi"/>
              </w:rPr>
              <w:fldChar w:fldCharType="separate"/>
            </w:r>
            <w:r w:rsidR="00AD3A10">
              <w:rPr>
                <w:rFonts w:asciiTheme="minorHAnsi" w:hAnsiTheme="minorHAnsi"/>
                <w:noProof/>
              </w:rPr>
              <w:t>4</w:t>
            </w:r>
            <w:r w:rsidR="002A45EB" w:rsidRPr="06636B6A">
              <w:rPr>
                <w:rFonts w:asciiTheme="minorHAnsi" w:hAnsiTheme="minorHAnsi"/>
                <w:noProof/>
              </w:rPr>
              <w:fldChar w:fldCharType="end"/>
            </w:r>
            <w:r w:rsidRPr="06636B6A">
              <w:rPr>
                <w:rFonts w:asciiTheme="minorHAnsi" w:hAnsiTheme="minorHAnsi"/>
              </w:rPr>
              <w:t xml:space="preserve"> of </w:t>
            </w:r>
            <w:r w:rsidR="002A45EB" w:rsidRPr="06636B6A">
              <w:rPr>
                <w:rFonts w:asciiTheme="minorHAnsi" w:hAnsiTheme="minorHAnsi"/>
                <w:noProof/>
              </w:rPr>
              <w:fldChar w:fldCharType="begin"/>
            </w:r>
            <w:r w:rsidR="002A45EB" w:rsidRPr="06636B6A">
              <w:rPr>
                <w:rFonts w:asciiTheme="minorHAnsi" w:hAnsiTheme="minorHAnsi"/>
              </w:rPr>
              <w:instrText xml:space="preserve"> NUMPAGES  </w:instrText>
            </w:r>
            <w:r w:rsidR="002A45EB" w:rsidRPr="06636B6A">
              <w:rPr>
                <w:rFonts w:asciiTheme="minorHAnsi" w:hAnsiTheme="minorHAnsi"/>
              </w:rPr>
              <w:fldChar w:fldCharType="separate"/>
            </w:r>
            <w:r w:rsidR="00AD3A10">
              <w:rPr>
                <w:rFonts w:asciiTheme="minorHAnsi" w:hAnsiTheme="minorHAnsi"/>
                <w:noProof/>
              </w:rPr>
              <w:t>4</w:t>
            </w:r>
            <w:r w:rsidR="002A45EB" w:rsidRPr="06636B6A">
              <w:rPr>
                <w:rFonts w:asciiTheme="minorHAnsi" w:hAnsiTheme="minorHAnsi"/>
                <w:noProof/>
              </w:rPr>
              <w:fldChar w:fldCharType="end"/>
            </w:r>
          </w:p>
          <w:p w14:paraId="0994B7C5" w14:textId="6CB7C14F" w:rsidR="002A45EB" w:rsidRPr="00B93AFE" w:rsidRDefault="00DD633B" w:rsidP="06636B6A">
            <w:pPr>
              <w:pStyle w:val="NoSpacing"/>
              <w:rPr>
                <w:rFonts w:asciiTheme="minorHAnsi" w:hAnsiTheme="minorHAnsi"/>
              </w:rPr>
            </w:pPr>
            <w:r>
              <w:rPr>
                <w:rFonts w:asciiTheme="minorHAnsi" w:hAnsiTheme="minorHAnsi"/>
              </w:rPr>
              <w:t>SA006</w:t>
            </w:r>
            <w:r w:rsidR="00250889">
              <w:rPr>
                <w:rFonts w:asciiTheme="minorHAnsi" w:hAnsiTheme="minorHAnsi"/>
              </w:rPr>
              <w:t>.1 – February 12</w:t>
            </w:r>
            <w:r w:rsidR="00F25F63">
              <w:rPr>
                <w:rFonts w:asciiTheme="minorHAnsi" w:hAnsiTheme="minorHAnsi"/>
              </w:rPr>
              <w:t>, 2025</w:t>
            </w:r>
          </w:p>
          <w:p w14:paraId="3C53B766"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Pr>
                <w:rFonts w:asciiTheme="minorHAnsi" w:hAnsiTheme="minorHAnsi"/>
                <w:bCs/>
                <w:color w:val="A6A6A6" w:themeColor="background1" w:themeShade="A6"/>
                <w:sz w:val="20"/>
                <w:szCs w:val="20"/>
              </w:rPr>
              <w:t xml:space="preserve">Rev. </w:t>
            </w:r>
            <w:r w:rsidR="00A53739">
              <w:rPr>
                <w:rFonts w:asciiTheme="minorHAnsi" w:hAnsiTheme="minorHAnsi"/>
                <w:bCs/>
                <w:color w:val="A6A6A6" w:themeColor="background1" w:themeShade="A6"/>
                <w:sz w:val="20"/>
                <w:szCs w:val="20"/>
              </w:rPr>
              <w:t>1</w:t>
            </w:r>
            <w:r w:rsidR="001109B8">
              <w:rPr>
                <w:rFonts w:asciiTheme="minorHAnsi" w:hAnsiTheme="minorHAnsi"/>
                <w:bCs/>
                <w:color w:val="A6A6A6" w:themeColor="background1" w:themeShade="A6"/>
                <w:sz w:val="20"/>
                <w:szCs w:val="20"/>
              </w:rPr>
              <w:t>/</w:t>
            </w:r>
            <w:r w:rsidR="00A53739">
              <w:rPr>
                <w:rFonts w:asciiTheme="minorHAnsi" w:hAnsiTheme="minorHAnsi"/>
                <w:bCs/>
                <w:color w:val="A6A6A6" w:themeColor="background1" w:themeShade="A6"/>
                <w:sz w:val="20"/>
                <w:szCs w:val="20"/>
              </w:rPr>
              <w:t>04</w:t>
            </w:r>
            <w:r w:rsidRPr="002A45EB">
              <w:rPr>
                <w:rFonts w:asciiTheme="minorHAnsi" w:hAnsiTheme="minorHAnsi"/>
                <w:bCs/>
                <w:color w:val="A6A6A6" w:themeColor="background1" w:themeShade="A6"/>
                <w:sz w:val="20"/>
                <w:szCs w:val="20"/>
              </w:rPr>
              <w:t>/20</w:t>
            </w:r>
            <w:r w:rsidR="00DB4992">
              <w:rPr>
                <w:rFonts w:asciiTheme="minorHAnsi" w:hAnsiTheme="minorHAnsi"/>
                <w:bCs/>
                <w:color w:val="A6A6A6" w:themeColor="background1" w:themeShade="A6"/>
                <w:sz w:val="20"/>
                <w:szCs w:val="20"/>
              </w:rPr>
              <w:t>2</w:t>
            </w:r>
            <w:r w:rsidR="00A53739">
              <w:rPr>
                <w:rFonts w:asciiTheme="minorHAnsi" w:hAnsiTheme="minorHAnsi"/>
                <w:bCs/>
                <w:color w:val="A6A6A6" w:themeColor="background1" w:themeShade="A6"/>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B2C9" w14:textId="77777777" w:rsidR="00957BA0" w:rsidRDefault="00957BA0">
      <w:r>
        <w:separator/>
      </w:r>
    </w:p>
  </w:footnote>
  <w:footnote w:type="continuationSeparator" w:id="0">
    <w:p w14:paraId="73728139" w14:textId="77777777" w:rsidR="00957BA0" w:rsidRDefault="00957BA0">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Aa6PRaSb" int2:invalidationBookmarkName="" int2:hashCode="UGREgcfNYgtzP8" int2:id="bRbsssQ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6pt;height:51pt" o:bullet="t">
        <v:imagedata r:id="rId1" o:title="UL Fleur de Lis"/>
      </v:shape>
    </w:pict>
  </w:numPicBullet>
  <w:abstractNum w:abstractNumId="0" w15:restartNumberingAfterBreak="0">
    <w:nsid w:val="03B435A8"/>
    <w:multiLevelType w:val="multilevel"/>
    <w:tmpl w:val="3F68CB0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51D2F"/>
    <w:multiLevelType w:val="multilevel"/>
    <w:tmpl w:val="A04E57D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292A23"/>
    <w:multiLevelType w:val="multilevel"/>
    <w:tmpl w:val="75B8745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2"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C9B0801"/>
    <w:multiLevelType w:val="hybridMultilevel"/>
    <w:tmpl w:val="6E0AF032"/>
    <w:lvl w:ilvl="0" w:tplc="5462A882">
      <w:start w:val="1"/>
      <w:numFmt w:val="bullet"/>
      <w:lvlText w:val=""/>
      <w:lvlJc w:val="left"/>
      <w:pPr>
        <w:ind w:left="720" w:hanging="360"/>
      </w:pPr>
      <w:rPr>
        <w:rFonts w:ascii="Symbol" w:hAnsi="Symbol" w:hint="default"/>
      </w:rPr>
    </w:lvl>
    <w:lvl w:ilvl="1" w:tplc="14BCCF12">
      <w:start w:val="1"/>
      <w:numFmt w:val="bullet"/>
      <w:lvlText w:val="o"/>
      <w:lvlJc w:val="left"/>
      <w:pPr>
        <w:ind w:left="1440" w:hanging="360"/>
      </w:pPr>
      <w:rPr>
        <w:rFonts w:ascii="Courier New" w:hAnsi="Courier New" w:hint="default"/>
      </w:rPr>
    </w:lvl>
    <w:lvl w:ilvl="2" w:tplc="892A75B8">
      <w:start w:val="1"/>
      <w:numFmt w:val="bullet"/>
      <w:lvlText w:val=""/>
      <w:lvlJc w:val="left"/>
      <w:pPr>
        <w:ind w:left="2160" w:hanging="360"/>
      </w:pPr>
      <w:rPr>
        <w:rFonts w:ascii="Wingdings" w:hAnsi="Wingdings" w:hint="default"/>
      </w:rPr>
    </w:lvl>
    <w:lvl w:ilvl="3" w:tplc="B8BA31BA">
      <w:start w:val="1"/>
      <w:numFmt w:val="bullet"/>
      <w:lvlText w:val=""/>
      <w:lvlJc w:val="left"/>
      <w:pPr>
        <w:ind w:left="2880" w:hanging="360"/>
      </w:pPr>
      <w:rPr>
        <w:rFonts w:ascii="Symbol" w:hAnsi="Symbol" w:hint="default"/>
      </w:rPr>
    </w:lvl>
    <w:lvl w:ilvl="4" w:tplc="235E2A8C">
      <w:start w:val="1"/>
      <w:numFmt w:val="bullet"/>
      <w:lvlText w:val="o"/>
      <w:lvlJc w:val="left"/>
      <w:pPr>
        <w:ind w:left="3600" w:hanging="360"/>
      </w:pPr>
      <w:rPr>
        <w:rFonts w:ascii="Courier New" w:hAnsi="Courier New" w:hint="default"/>
      </w:rPr>
    </w:lvl>
    <w:lvl w:ilvl="5" w:tplc="B6F8F722">
      <w:start w:val="1"/>
      <w:numFmt w:val="bullet"/>
      <w:lvlText w:val=""/>
      <w:lvlJc w:val="left"/>
      <w:pPr>
        <w:ind w:left="4320" w:hanging="360"/>
      </w:pPr>
      <w:rPr>
        <w:rFonts w:ascii="Wingdings" w:hAnsi="Wingdings" w:hint="default"/>
      </w:rPr>
    </w:lvl>
    <w:lvl w:ilvl="6" w:tplc="547C76D8">
      <w:start w:val="1"/>
      <w:numFmt w:val="bullet"/>
      <w:lvlText w:val=""/>
      <w:lvlJc w:val="left"/>
      <w:pPr>
        <w:ind w:left="5040" w:hanging="360"/>
      </w:pPr>
      <w:rPr>
        <w:rFonts w:ascii="Symbol" w:hAnsi="Symbol" w:hint="default"/>
      </w:rPr>
    </w:lvl>
    <w:lvl w:ilvl="7" w:tplc="B6927294">
      <w:start w:val="1"/>
      <w:numFmt w:val="bullet"/>
      <w:lvlText w:val="o"/>
      <w:lvlJc w:val="left"/>
      <w:pPr>
        <w:ind w:left="5760" w:hanging="360"/>
      </w:pPr>
      <w:rPr>
        <w:rFonts w:ascii="Courier New" w:hAnsi="Courier New" w:hint="default"/>
      </w:rPr>
    </w:lvl>
    <w:lvl w:ilvl="8" w:tplc="3106085C">
      <w:start w:val="1"/>
      <w:numFmt w:val="bullet"/>
      <w:lvlText w:val=""/>
      <w:lvlJc w:val="left"/>
      <w:pPr>
        <w:ind w:left="6480" w:hanging="360"/>
      </w:pPr>
      <w:rPr>
        <w:rFonts w:ascii="Wingdings" w:hAnsi="Wingdings" w:hint="default"/>
      </w:rPr>
    </w:lvl>
  </w:abstractNum>
  <w:abstractNum w:abstractNumId="15" w15:restartNumberingAfterBreak="0">
    <w:nsid w:val="43C21EB2"/>
    <w:multiLevelType w:val="multilevel"/>
    <w:tmpl w:val="8B40BD1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8E12C0"/>
    <w:multiLevelType w:val="multilevel"/>
    <w:tmpl w:val="2124BD7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78360C"/>
    <w:multiLevelType w:val="multilevel"/>
    <w:tmpl w:val="36FCDA2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19757F"/>
    <w:multiLevelType w:val="multilevel"/>
    <w:tmpl w:val="C6CAC1E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C4EE66"/>
    <w:multiLevelType w:val="hybridMultilevel"/>
    <w:tmpl w:val="210650BE"/>
    <w:lvl w:ilvl="0" w:tplc="E1DAFD7C">
      <w:start w:val="1"/>
      <w:numFmt w:val="bullet"/>
      <w:lvlText w:val="·"/>
      <w:lvlJc w:val="left"/>
      <w:pPr>
        <w:ind w:left="720" w:hanging="360"/>
      </w:pPr>
      <w:rPr>
        <w:rFonts w:ascii="Symbol" w:hAnsi="Symbol" w:hint="default"/>
      </w:rPr>
    </w:lvl>
    <w:lvl w:ilvl="1" w:tplc="17AC9896">
      <w:start w:val="1"/>
      <w:numFmt w:val="bullet"/>
      <w:lvlText w:val="o"/>
      <w:lvlJc w:val="left"/>
      <w:pPr>
        <w:ind w:left="1440" w:hanging="360"/>
      </w:pPr>
      <w:rPr>
        <w:rFonts w:ascii="Courier New" w:hAnsi="Courier New" w:hint="default"/>
      </w:rPr>
    </w:lvl>
    <w:lvl w:ilvl="2" w:tplc="4462FAE4">
      <w:start w:val="1"/>
      <w:numFmt w:val="bullet"/>
      <w:lvlText w:val=""/>
      <w:lvlJc w:val="left"/>
      <w:pPr>
        <w:ind w:left="2160" w:hanging="360"/>
      </w:pPr>
      <w:rPr>
        <w:rFonts w:ascii="Wingdings" w:hAnsi="Wingdings" w:hint="default"/>
      </w:rPr>
    </w:lvl>
    <w:lvl w:ilvl="3" w:tplc="9928FDE8">
      <w:start w:val="1"/>
      <w:numFmt w:val="bullet"/>
      <w:lvlText w:val=""/>
      <w:lvlJc w:val="left"/>
      <w:pPr>
        <w:ind w:left="2880" w:hanging="360"/>
      </w:pPr>
      <w:rPr>
        <w:rFonts w:ascii="Symbol" w:hAnsi="Symbol" w:hint="default"/>
      </w:rPr>
    </w:lvl>
    <w:lvl w:ilvl="4" w:tplc="3C9ED39C">
      <w:start w:val="1"/>
      <w:numFmt w:val="bullet"/>
      <w:lvlText w:val="o"/>
      <w:lvlJc w:val="left"/>
      <w:pPr>
        <w:ind w:left="3600" w:hanging="360"/>
      </w:pPr>
      <w:rPr>
        <w:rFonts w:ascii="Courier New" w:hAnsi="Courier New" w:hint="default"/>
      </w:rPr>
    </w:lvl>
    <w:lvl w:ilvl="5" w:tplc="B91866A6">
      <w:start w:val="1"/>
      <w:numFmt w:val="bullet"/>
      <w:lvlText w:val=""/>
      <w:lvlJc w:val="left"/>
      <w:pPr>
        <w:ind w:left="4320" w:hanging="360"/>
      </w:pPr>
      <w:rPr>
        <w:rFonts w:ascii="Wingdings" w:hAnsi="Wingdings" w:hint="default"/>
      </w:rPr>
    </w:lvl>
    <w:lvl w:ilvl="6" w:tplc="7ED099D6">
      <w:start w:val="1"/>
      <w:numFmt w:val="bullet"/>
      <w:lvlText w:val=""/>
      <w:lvlJc w:val="left"/>
      <w:pPr>
        <w:ind w:left="5040" w:hanging="360"/>
      </w:pPr>
      <w:rPr>
        <w:rFonts w:ascii="Symbol" w:hAnsi="Symbol" w:hint="default"/>
      </w:rPr>
    </w:lvl>
    <w:lvl w:ilvl="7" w:tplc="3908385C">
      <w:start w:val="1"/>
      <w:numFmt w:val="bullet"/>
      <w:lvlText w:val="o"/>
      <w:lvlJc w:val="left"/>
      <w:pPr>
        <w:ind w:left="5760" w:hanging="360"/>
      </w:pPr>
      <w:rPr>
        <w:rFonts w:ascii="Courier New" w:hAnsi="Courier New" w:hint="default"/>
      </w:rPr>
    </w:lvl>
    <w:lvl w:ilvl="8" w:tplc="763A2FCC">
      <w:start w:val="1"/>
      <w:numFmt w:val="bullet"/>
      <w:lvlText w:val=""/>
      <w:lvlJc w:val="left"/>
      <w:pPr>
        <w:ind w:left="6480" w:hanging="360"/>
      </w:pPr>
      <w:rPr>
        <w:rFonts w:ascii="Wingdings" w:hAnsi="Wingdings" w:hint="default"/>
      </w:rPr>
    </w:lvl>
  </w:abstractNum>
  <w:abstractNum w:abstractNumId="20"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C91603"/>
    <w:multiLevelType w:val="hybridMultilevel"/>
    <w:tmpl w:val="22602324"/>
    <w:lvl w:ilvl="0" w:tplc="A3BA8788">
      <w:start w:val="1"/>
      <w:numFmt w:val="bullet"/>
      <w:lvlText w:val=""/>
      <w:lvlJc w:val="left"/>
      <w:pPr>
        <w:ind w:left="720" w:hanging="360"/>
      </w:pPr>
      <w:rPr>
        <w:rFonts w:ascii="Symbol" w:hAnsi="Symbol" w:hint="default"/>
      </w:rPr>
    </w:lvl>
    <w:lvl w:ilvl="1" w:tplc="DA185DEC">
      <w:start w:val="1"/>
      <w:numFmt w:val="bullet"/>
      <w:lvlText w:val="o"/>
      <w:lvlJc w:val="left"/>
      <w:pPr>
        <w:ind w:left="1440" w:hanging="360"/>
      </w:pPr>
      <w:rPr>
        <w:rFonts w:ascii="Courier New" w:hAnsi="Courier New" w:hint="default"/>
      </w:rPr>
    </w:lvl>
    <w:lvl w:ilvl="2" w:tplc="B7E09914">
      <w:start w:val="1"/>
      <w:numFmt w:val="bullet"/>
      <w:lvlText w:val=""/>
      <w:lvlJc w:val="left"/>
      <w:pPr>
        <w:ind w:left="2160" w:hanging="360"/>
      </w:pPr>
      <w:rPr>
        <w:rFonts w:ascii="Wingdings" w:hAnsi="Wingdings" w:hint="default"/>
      </w:rPr>
    </w:lvl>
    <w:lvl w:ilvl="3" w:tplc="35185714">
      <w:start w:val="1"/>
      <w:numFmt w:val="bullet"/>
      <w:lvlText w:val=""/>
      <w:lvlJc w:val="left"/>
      <w:pPr>
        <w:ind w:left="2880" w:hanging="360"/>
      </w:pPr>
      <w:rPr>
        <w:rFonts w:ascii="Symbol" w:hAnsi="Symbol" w:hint="default"/>
      </w:rPr>
    </w:lvl>
    <w:lvl w:ilvl="4" w:tplc="052258CC">
      <w:start w:val="1"/>
      <w:numFmt w:val="bullet"/>
      <w:lvlText w:val="o"/>
      <w:lvlJc w:val="left"/>
      <w:pPr>
        <w:ind w:left="3600" w:hanging="360"/>
      </w:pPr>
      <w:rPr>
        <w:rFonts w:ascii="Courier New" w:hAnsi="Courier New" w:hint="default"/>
      </w:rPr>
    </w:lvl>
    <w:lvl w:ilvl="5" w:tplc="1C4E4146">
      <w:start w:val="1"/>
      <w:numFmt w:val="bullet"/>
      <w:lvlText w:val=""/>
      <w:lvlJc w:val="left"/>
      <w:pPr>
        <w:ind w:left="4320" w:hanging="360"/>
      </w:pPr>
      <w:rPr>
        <w:rFonts w:ascii="Wingdings" w:hAnsi="Wingdings" w:hint="default"/>
      </w:rPr>
    </w:lvl>
    <w:lvl w:ilvl="6" w:tplc="7FCEA7BE">
      <w:start w:val="1"/>
      <w:numFmt w:val="bullet"/>
      <w:lvlText w:val=""/>
      <w:lvlJc w:val="left"/>
      <w:pPr>
        <w:ind w:left="5040" w:hanging="360"/>
      </w:pPr>
      <w:rPr>
        <w:rFonts w:ascii="Symbol" w:hAnsi="Symbol" w:hint="default"/>
      </w:rPr>
    </w:lvl>
    <w:lvl w:ilvl="7" w:tplc="A4EC84C0">
      <w:start w:val="1"/>
      <w:numFmt w:val="bullet"/>
      <w:lvlText w:val="o"/>
      <w:lvlJc w:val="left"/>
      <w:pPr>
        <w:ind w:left="5760" w:hanging="360"/>
      </w:pPr>
      <w:rPr>
        <w:rFonts w:ascii="Courier New" w:hAnsi="Courier New" w:hint="default"/>
      </w:rPr>
    </w:lvl>
    <w:lvl w:ilvl="8" w:tplc="6082BCC4">
      <w:start w:val="1"/>
      <w:numFmt w:val="bullet"/>
      <w:lvlText w:val=""/>
      <w:lvlJc w:val="left"/>
      <w:pPr>
        <w:ind w:left="6480" w:hanging="360"/>
      </w:pPr>
      <w:rPr>
        <w:rFonts w:ascii="Wingdings" w:hAnsi="Wingdings" w:hint="default"/>
      </w:rPr>
    </w:lvl>
  </w:abstractNum>
  <w:abstractNum w:abstractNumId="22"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2BEF1"/>
    <w:multiLevelType w:val="hybridMultilevel"/>
    <w:tmpl w:val="0A84DEAC"/>
    <w:lvl w:ilvl="0" w:tplc="F6ACD6C4">
      <w:start w:val="1"/>
      <w:numFmt w:val="bullet"/>
      <w:lvlText w:val="·"/>
      <w:lvlJc w:val="left"/>
      <w:pPr>
        <w:ind w:left="720" w:hanging="360"/>
      </w:pPr>
      <w:rPr>
        <w:rFonts w:ascii="Courier New" w:hAnsi="Courier New" w:hint="default"/>
      </w:rPr>
    </w:lvl>
    <w:lvl w:ilvl="1" w:tplc="B78C0526">
      <w:start w:val="1"/>
      <w:numFmt w:val="bullet"/>
      <w:lvlText w:val="o"/>
      <w:lvlJc w:val="left"/>
      <w:pPr>
        <w:ind w:left="1440" w:hanging="360"/>
      </w:pPr>
      <w:rPr>
        <w:rFonts w:ascii="Courier New" w:hAnsi="Courier New" w:hint="default"/>
      </w:rPr>
    </w:lvl>
    <w:lvl w:ilvl="2" w:tplc="D49629C8">
      <w:start w:val="1"/>
      <w:numFmt w:val="bullet"/>
      <w:lvlText w:val=""/>
      <w:lvlJc w:val="left"/>
      <w:pPr>
        <w:ind w:left="2160" w:hanging="360"/>
      </w:pPr>
      <w:rPr>
        <w:rFonts w:ascii="Wingdings" w:hAnsi="Wingdings" w:hint="default"/>
      </w:rPr>
    </w:lvl>
    <w:lvl w:ilvl="3" w:tplc="58D2CA64">
      <w:start w:val="1"/>
      <w:numFmt w:val="bullet"/>
      <w:lvlText w:val=""/>
      <w:lvlJc w:val="left"/>
      <w:pPr>
        <w:ind w:left="2880" w:hanging="360"/>
      </w:pPr>
      <w:rPr>
        <w:rFonts w:ascii="Symbol" w:hAnsi="Symbol" w:hint="default"/>
      </w:rPr>
    </w:lvl>
    <w:lvl w:ilvl="4" w:tplc="07D60CCA">
      <w:start w:val="1"/>
      <w:numFmt w:val="bullet"/>
      <w:lvlText w:val="o"/>
      <w:lvlJc w:val="left"/>
      <w:pPr>
        <w:ind w:left="3600" w:hanging="360"/>
      </w:pPr>
      <w:rPr>
        <w:rFonts w:ascii="Courier New" w:hAnsi="Courier New" w:hint="default"/>
      </w:rPr>
    </w:lvl>
    <w:lvl w:ilvl="5" w:tplc="E37CB608">
      <w:start w:val="1"/>
      <w:numFmt w:val="bullet"/>
      <w:lvlText w:val=""/>
      <w:lvlJc w:val="left"/>
      <w:pPr>
        <w:ind w:left="4320" w:hanging="360"/>
      </w:pPr>
      <w:rPr>
        <w:rFonts w:ascii="Wingdings" w:hAnsi="Wingdings" w:hint="default"/>
      </w:rPr>
    </w:lvl>
    <w:lvl w:ilvl="6" w:tplc="CA4C4B34">
      <w:start w:val="1"/>
      <w:numFmt w:val="bullet"/>
      <w:lvlText w:val=""/>
      <w:lvlJc w:val="left"/>
      <w:pPr>
        <w:ind w:left="5040" w:hanging="360"/>
      </w:pPr>
      <w:rPr>
        <w:rFonts w:ascii="Symbol" w:hAnsi="Symbol" w:hint="default"/>
      </w:rPr>
    </w:lvl>
    <w:lvl w:ilvl="7" w:tplc="5912977E">
      <w:start w:val="1"/>
      <w:numFmt w:val="bullet"/>
      <w:lvlText w:val="o"/>
      <w:lvlJc w:val="left"/>
      <w:pPr>
        <w:ind w:left="5760" w:hanging="360"/>
      </w:pPr>
      <w:rPr>
        <w:rFonts w:ascii="Courier New" w:hAnsi="Courier New" w:hint="default"/>
      </w:rPr>
    </w:lvl>
    <w:lvl w:ilvl="8" w:tplc="5E0414AA">
      <w:start w:val="1"/>
      <w:numFmt w:val="bullet"/>
      <w:lvlText w:val=""/>
      <w:lvlJc w:val="left"/>
      <w:pPr>
        <w:ind w:left="6480" w:hanging="360"/>
      </w:pPr>
      <w:rPr>
        <w:rFonts w:ascii="Wingdings" w:hAnsi="Wingdings" w:hint="default"/>
      </w:rPr>
    </w:lvl>
  </w:abstractNum>
  <w:abstractNum w:abstractNumId="24"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82842F1"/>
    <w:multiLevelType w:val="multilevel"/>
    <w:tmpl w:val="B334590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654EFD"/>
    <w:multiLevelType w:val="multilevel"/>
    <w:tmpl w:val="2EBAE80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D601B2"/>
    <w:multiLevelType w:val="multilevel"/>
    <w:tmpl w:val="701C3CA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A4128"/>
    <w:multiLevelType w:val="multilevel"/>
    <w:tmpl w:val="DF52C9F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A35B6A"/>
    <w:multiLevelType w:val="multilevel"/>
    <w:tmpl w:val="6F1CF7D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7FE3AA0F"/>
    <w:multiLevelType w:val="hybridMultilevel"/>
    <w:tmpl w:val="3A287322"/>
    <w:lvl w:ilvl="0" w:tplc="618EFE50">
      <w:start w:val="1"/>
      <w:numFmt w:val="bullet"/>
      <w:lvlText w:val=""/>
      <w:lvlJc w:val="left"/>
      <w:pPr>
        <w:ind w:left="720" w:hanging="360"/>
      </w:pPr>
      <w:rPr>
        <w:rFonts w:ascii="Symbol" w:hAnsi="Symbol" w:hint="default"/>
      </w:rPr>
    </w:lvl>
    <w:lvl w:ilvl="1" w:tplc="C96A97BE">
      <w:start w:val="1"/>
      <w:numFmt w:val="bullet"/>
      <w:lvlText w:val="o"/>
      <w:lvlJc w:val="left"/>
      <w:pPr>
        <w:ind w:left="1440" w:hanging="360"/>
      </w:pPr>
      <w:rPr>
        <w:rFonts w:ascii="Courier New" w:hAnsi="Courier New" w:hint="default"/>
      </w:rPr>
    </w:lvl>
    <w:lvl w:ilvl="2" w:tplc="DBFAC4FC">
      <w:start w:val="1"/>
      <w:numFmt w:val="bullet"/>
      <w:lvlText w:val=""/>
      <w:lvlJc w:val="left"/>
      <w:pPr>
        <w:ind w:left="2160" w:hanging="360"/>
      </w:pPr>
      <w:rPr>
        <w:rFonts w:ascii="Wingdings" w:hAnsi="Wingdings" w:hint="default"/>
      </w:rPr>
    </w:lvl>
    <w:lvl w:ilvl="3" w:tplc="992A8FC4">
      <w:start w:val="1"/>
      <w:numFmt w:val="bullet"/>
      <w:lvlText w:val=""/>
      <w:lvlJc w:val="left"/>
      <w:pPr>
        <w:ind w:left="2880" w:hanging="360"/>
      </w:pPr>
      <w:rPr>
        <w:rFonts w:ascii="Symbol" w:hAnsi="Symbol" w:hint="default"/>
      </w:rPr>
    </w:lvl>
    <w:lvl w:ilvl="4" w:tplc="FA287698">
      <w:start w:val="1"/>
      <w:numFmt w:val="bullet"/>
      <w:lvlText w:val="o"/>
      <w:lvlJc w:val="left"/>
      <w:pPr>
        <w:ind w:left="3600" w:hanging="360"/>
      </w:pPr>
      <w:rPr>
        <w:rFonts w:ascii="Courier New" w:hAnsi="Courier New" w:hint="default"/>
      </w:rPr>
    </w:lvl>
    <w:lvl w:ilvl="5" w:tplc="0E4CCAC6">
      <w:start w:val="1"/>
      <w:numFmt w:val="bullet"/>
      <w:lvlText w:val=""/>
      <w:lvlJc w:val="left"/>
      <w:pPr>
        <w:ind w:left="4320" w:hanging="360"/>
      </w:pPr>
      <w:rPr>
        <w:rFonts w:ascii="Wingdings" w:hAnsi="Wingdings" w:hint="default"/>
      </w:rPr>
    </w:lvl>
    <w:lvl w:ilvl="6" w:tplc="87E4AE2C">
      <w:start w:val="1"/>
      <w:numFmt w:val="bullet"/>
      <w:lvlText w:val=""/>
      <w:lvlJc w:val="left"/>
      <w:pPr>
        <w:ind w:left="5040" w:hanging="360"/>
      </w:pPr>
      <w:rPr>
        <w:rFonts w:ascii="Symbol" w:hAnsi="Symbol" w:hint="default"/>
      </w:rPr>
    </w:lvl>
    <w:lvl w:ilvl="7" w:tplc="476437B2">
      <w:start w:val="1"/>
      <w:numFmt w:val="bullet"/>
      <w:lvlText w:val="o"/>
      <w:lvlJc w:val="left"/>
      <w:pPr>
        <w:ind w:left="5760" w:hanging="360"/>
      </w:pPr>
      <w:rPr>
        <w:rFonts w:ascii="Courier New" w:hAnsi="Courier New" w:hint="default"/>
      </w:rPr>
    </w:lvl>
    <w:lvl w:ilvl="8" w:tplc="F8CC5F4C">
      <w:start w:val="1"/>
      <w:numFmt w:val="bullet"/>
      <w:lvlText w:val=""/>
      <w:lvlJc w:val="left"/>
      <w:pPr>
        <w:ind w:left="6480" w:hanging="360"/>
      </w:pPr>
      <w:rPr>
        <w:rFonts w:ascii="Wingdings" w:hAnsi="Wingdings" w:hint="default"/>
      </w:rPr>
    </w:lvl>
  </w:abstractNum>
  <w:num w:numId="1" w16cid:durableId="637883270">
    <w:abstractNumId w:val="19"/>
  </w:num>
  <w:num w:numId="2" w16cid:durableId="58358910">
    <w:abstractNumId w:val="21"/>
  </w:num>
  <w:num w:numId="3" w16cid:durableId="1709645383">
    <w:abstractNumId w:val="44"/>
  </w:num>
  <w:num w:numId="4" w16cid:durableId="536435439">
    <w:abstractNumId w:val="14"/>
  </w:num>
  <w:num w:numId="5" w16cid:durableId="1886520425">
    <w:abstractNumId w:val="23"/>
  </w:num>
  <w:num w:numId="6" w16cid:durableId="629938664">
    <w:abstractNumId w:val="38"/>
  </w:num>
  <w:num w:numId="7" w16cid:durableId="1724017335">
    <w:abstractNumId w:val="13"/>
  </w:num>
  <w:num w:numId="8" w16cid:durableId="890456629">
    <w:abstractNumId w:val="24"/>
  </w:num>
  <w:num w:numId="9" w16cid:durableId="1356272027">
    <w:abstractNumId w:val="1"/>
  </w:num>
  <w:num w:numId="10" w16cid:durableId="1744598117">
    <w:abstractNumId w:val="27"/>
  </w:num>
  <w:num w:numId="11" w16cid:durableId="111754609">
    <w:abstractNumId w:val="42"/>
  </w:num>
  <w:num w:numId="12" w16cid:durableId="1415055147">
    <w:abstractNumId w:val="37"/>
  </w:num>
  <w:num w:numId="13" w16cid:durableId="1555963777">
    <w:abstractNumId w:val="43"/>
  </w:num>
  <w:num w:numId="14" w16cid:durableId="1008943891">
    <w:abstractNumId w:val="41"/>
  </w:num>
  <w:num w:numId="15" w16cid:durableId="1497644659">
    <w:abstractNumId w:val="39"/>
  </w:num>
  <w:num w:numId="16" w16cid:durableId="986661922">
    <w:abstractNumId w:val="6"/>
  </w:num>
  <w:num w:numId="17" w16cid:durableId="2021807323">
    <w:abstractNumId w:val="10"/>
  </w:num>
  <w:num w:numId="18" w16cid:durableId="2001882835">
    <w:abstractNumId w:val="11"/>
  </w:num>
  <w:num w:numId="19" w16cid:durableId="1384329238">
    <w:abstractNumId w:val="40"/>
  </w:num>
  <w:num w:numId="20" w16cid:durableId="96365710">
    <w:abstractNumId w:val="9"/>
  </w:num>
  <w:num w:numId="21" w16cid:durableId="1597982389">
    <w:abstractNumId w:val="7"/>
  </w:num>
  <w:num w:numId="22" w16cid:durableId="485241099">
    <w:abstractNumId w:val="29"/>
  </w:num>
  <w:num w:numId="23" w16cid:durableId="755978537">
    <w:abstractNumId w:val="32"/>
  </w:num>
  <w:num w:numId="24" w16cid:durableId="828597449">
    <w:abstractNumId w:val="20"/>
  </w:num>
  <w:num w:numId="25" w16cid:durableId="1150055736">
    <w:abstractNumId w:val="22"/>
  </w:num>
  <w:num w:numId="26" w16cid:durableId="1606695908">
    <w:abstractNumId w:val="34"/>
  </w:num>
  <w:num w:numId="27" w16cid:durableId="1602684916">
    <w:abstractNumId w:val="30"/>
  </w:num>
  <w:num w:numId="28" w16cid:durableId="664087793">
    <w:abstractNumId w:val="31"/>
  </w:num>
  <w:num w:numId="29" w16cid:durableId="2013990423">
    <w:abstractNumId w:val="4"/>
  </w:num>
  <w:num w:numId="30" w16cid:durableId="1128399073">
    <w:abstractNumId w:val="12"/>
  </w:num>
  <w:num w:numId="31" w16cid:durableId="1148133446">
    <w:abstractNumId w:val="8"/>
  </w:num>
  <w:num w:numId="32" w16cid:durableId="2663513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8078833">
    <w:abstractNumId w:val="2"/>
  </w:num>
  <w:num w:numId="34" w16cid:durableId="679432406">
    <w:abstractNumId w:val="0"/>
  </w:num>
  <w:num w:numId="35" w16cid:durableId="1353612058">
    <w:abstractNumId w:val="26"/>
  </w:num>
  <w:num w:numId="36" w16cid:durableId="593704531">
    <w:abstractNumId w:val="28"/>
  </w:num>
  <w:num w:numId="37" w16cid:durableId="439301768">
    <w:abstractNumId w:val="36"/>
  </w:num>
  <w:num w:numId="38" w16cid:durableId="617759949">
    <w:abstractNumId w:val="3"/>
  </w:num>
  <w:num w:numId="39" w16cid:durableId="1837071636">
    <w:abstractNumId w:val="17"/>
  </w:num>
  <w:num w:numId="40" w16cid:durableId="1828204447">
    <w:abstractNumId w:val="5"/>
  </w:num>
  <w:num w:numId="41" w16cid:durableId="2031299965">
    <w:abstractNumId w:val="35"/>
  </w:num>
  <w:num w:numId="42" w16cid:durableId="387992471">
    <w:abstractNumId w:val="25"/>
  </w:num>
  <w:num w:numId="43" w16cid:durableId="1946185735">
    <w:abstractNumId w:val="16"/>
  </w:num>
  <w:num w:numId="44" w16cid:durableId="278417108">
    <w:abstractNumId w:val="15"/>
  </w:num>
  <w:num w:numId="45" w16cid:durableId="183510084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wY15FiqQKlZZQ6m44ERDsXxAXmR/GtgOvN0khTmI+fj/WTsDqTnWfave8CC9a/efMPGvGPeEx/c/04nWA8GbDQ==" w:salt="XikrYK4RbaeIXtye5650UQ=="/>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4A15"/>
    <w:rsid w:val="0005141E"/>
    <w:rsid w:val="00054B39"/>
    <w:rsid w:val="0005755E"/>
    <w:rsid w:val="000742D7"/>
    <w:rsid w:val="00082507"/>
    <w:rsid w:val="00083CF2"/>
    <w:rsid w:val="00092240"/>
    <w:rsid w:val="000922FE"/>
    <w:rsid w:val="000930B2"/>
    <w:rsid w:val="000943A4"/>
    <w:rsid w:val="000A3284"/>
    <w:rsid w:val="000A3D1C"/>
    <w:rsid w:val="000A427C"/>
    <w:rsid w:val="000A4CA0"/>
    <w:rsid w:val="000A65C4"/>
    <w:rsid w:val="000C5385"/>
    <w:rsid w:val="000C7BB9"/>
    <w:rsid w:val="000D0AE8"/>
    <w:rsid w:val="000D1961"/>
    <w:rsid w:val="000D1A7A"/>
    <w:rsid w:val="000D5D19"/>
    <w:rsid w:val="000D7D7D"/>
    <w:rsid w:val="000E35B6"/>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4119B"/>
    <w:rsid w:val="00146ACC"/>
    <w:rsid w:val="00146FDF"/>
    <w:rsid w:val="001518A1"/>
    <w:rsid w:val="00151C37"/>
    <w:rsid w:val="00163022"/>
    <w:rsid w:val="00177101"/>
    <w:rsid w:val="00177645"/>
    <w:rsid w:val="00177858"/>
    <w:rsid w:val="0018269B"/>
    <w:rsid w:val="00183BC8"/>
    <w:rsid w:val="00185764"/>
    <w:rsid w:val="00186A15"/>
    <w:rsid w:val="001B16F9"/>
    <w:rsid w:val="001C25FB"/>
    <w:rsid w:val="001D0A03"/>
    <w:rsid w:val="001D24F2"/>
    <w:rsid w:val="001D60B6"/>
    <w:rsid w:val="001E3743"/>
    <w:rsid w:val="001E3D23"/>
    <w:rsid w:val="001F7025"/>
    <w:rsid w:val="001F768C"/>
    <w:rsid w:val="002005A9"/>
    <w:rsid w:val="0020179A"/>
    <w:rsid w:val="00205E69"/>
    <w:rsid w:val="00206E7D"/>
    <w:rsid w:val="00207393"/>
    <w:rsid w:val="00207D8A"/>
    <w:rsid w:val="00210D23"/>
    <w:rsid w:val="00235CFA"/>
    <w:rsid w:val="0023788F"/>
    <w:rsid w:val="00243922"/>
    <w:rsid w:val="00244D52"/>
    <w:rsid w:val="00250889"/>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31080"/>
    <w:rsid w:val="00443985"/>
    <w:rsid w:val="00445EA8"/>
    <w:rsid w:val="00456A91"/>
    <w:rsid w:val="00461E96"/>
    <w:rsid w:val="00466146"/>
    <w:rsid w:val="0047315A"/>
    <w:rsid w:val="00482BF7"/>
    <w:rsid w:val="004A24F1"/>
    <w:rsid w:val="004A33CF"/>
    <w:rsid w:val="004B4765"/>
    <w:rsid w:val="004B4D96"/>
    <w:rsid w:val="004C15AB"/>
    <w:rsid w:val="004C1BE5"/>
    <w:rsid w:val="004C7EFB"/>
    <w:rsid w:val="004D0576"/>
    <w:rsid w:val="004D0E38"/>
    <w:rsid w:val="004D2A86"/>
    <w:rsid w:val="004E14ED"/>
    <w:rsid w:val="004E2569"/>
    <w:rsid w:val="004E3FD8"/>
    <w:rsid w:val="004E5BA4"/>
    <w:rsid w:val="004F42FB"/>
    <w:rsid w:val="004F63EC"/>
    <w:rsid w:val="00500584"/>
    <w:rsid w:val="00502DFD"/>
    <w:rsid w:val="00527A75"/>
    <w:rsid w:val="00532AA9"/>
    <w:rsid w:val="00542B5E"/>
    <w:rsid w:val="00545D1C"/>
    <w:rsid w:val="00546DC0"/>
    <w:rsid w:val="00550156"/>
    <w:rsid w:val="005520C8"/>
    <w:rsid w:val="00560CC3"/>
    <w:rsid w:val="005763C1"/>
    <w:rsid w:val="00590529"/>
    <w:rsid w:val="00591F81"/>
    <w:rsid w:val="005949FB"/>
    <w:rsid w:val="00597A37"/>
    <w:rsid w:val="005A3A3C"/>
    <w:rsid w:val="005A497D"/>
    <w:rsid w:val="005A4A92"/>
    <w:rsid w:val="005A5B7E"/>
    <w:rsid w:val="005A7F7F"/>
    <w:rsid w:val="005B2137"/>
    <w:rsid w:val="005B5027"/>
    <w:rsid w:val="005B7219"/>
    <w:rsid w:val="005C2CBE"/>
    <w:rsid w:val="005D290B"/>
    <w:rsid w:val="005D334D"/>
    <w:rsid w:val="005D593A"/>
    <w:rsid w:val="005D6020"/>
    <w:rsid w:val="005D7C13"/>
    <w:rsid w:val="005E0F04"/>
    <w:rsid w:val="005E6DEF"/>
    <w:rsid w:val="005E7ED1"/>
    <w:rsid w:val="005F104F"/>
    <w:rsid w:val="005F351F"/>
    <w:rsid w:val="006042EB"/>
    <w:rsid w:val="00604A03"/>
    <w:rsid w:val="00617099"/>
    <w:rsid w:val="006314CA"/>
    <w:rsid w:val="00635ACC"/>
    <w:rsid w:val="00640227"/>
    <w:rsid w:val="00640364"/>
    <w:rsid w:val="006448E3"/>
    <w:rsid w:val="0065069D"/>
    <w:rsid w:val="0065093B"/>
    <w:rsid w:val="00656B95"/>
    <w:rsid w:val="00681BCC"/>
    <w:rsid w:val="00686010"/>
    <w:rsid w:val="0068792F"/>
    <w:rsid w:val="00690493"/>
    <w:rsid w:val="00695EA3"/>
    <w:rsid w:val="006960ED"/>
    <w:rsid w:val="00696E8F"/>
    <w:rsid w:val="006A2AC4"/>
    <w:rsid w:val="006A2DBF"/>
    <w:rsid w:val="006A4007"/>
    <w:rsid w:val="006A63F6"/>
    <w:rsid w:val="006B3B5F"/>
    <w:rsid w:val="006B7824"/>
    <w:rsid w:val="006C000E"/>
    <w:rsid w:val="006C2F83"/>
    <w:rsid w:val="006D2AF2"/>
    <w:rsid w:val="006D43AA"/>
    <w:rsid w:val="006D7D96"/>
    <w:rsid w:val="006E1145"/>
    <w:rsid w:val="006E1C23"/>
    <w:rsid w:val="006E7858"/>
    <w:rsid w:val="006F202D"/>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1325"/>
    <w:rsid w:val="00775846"/>
    <w:rsid w:val="00777514"/>
    <w:rsid w:val="0077771A"/>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50FF"/>
    <w:rsid w:val="007D240C"/>
    <w:rsid w:val="007D3DB4"/>
    <w:rsid w:val="007E26D1"/>
    <w:rsid w:val="007F3903"/>
    <w:rsid w:val="00802F19"/>
    <w:rsid w:val="00803974"/>
    <w:rsid w:val="008075DE"/>
    <w:rsid w:val="008076F2"/>
    <w:rsid w:val="008177C1"/>
    <w:rsid w:val="00824808"/>
    <w:rsid w:val="00825873"/>
    <w:rsid w:val="00847A48"/>
    <w:rsid w:val="0085106C"/>
    <w:rsid w:val="00854917"/>
    <w:rsid w:val="00854933"/>
    <w:rsid w:val="00861A4C"/>
    <w:rsid w:val="008633E4"/>
    <w:rsid w:val="00870677"/>
    <w:rsid w:val="00875DB2"/>
    <w:rsid w:val="00877474"/>
    <w:rsid w:val="00891F46"/>
    <w:rsid w:val="00892246"/>
    <w:rsid w:val="00892C1B"/>
    <w:rsid w:val="0089770A"/>
    <w:rsid w:val="008B2153"/>
    <w:rsid w:val="008B5DDB"/>
    <w:rsid w:val="008B78B7"/>
    <w:rsid w:val="008C6180"/>
    <w:rsid w:val="008E301D"/>
    <w:rsid w:val="008E514E"/>
    <w:rsid w:val="008F5D84"/>
    <w:rsid w:val="008F771C"/>
    <w:rsid w:val="00903951"/>
    <w:rsid w:val="00904988"/>
    <w:rsid w:val="00905057"/>
    <w:rsid w:val="00912C39"/>
    <w:rsid w:val="009162CF"/>
    <w:rsid w:val="0092008A"/>
    <w:rsid w:val="00931AF3"/>
    <w:rsid w:val="00934AAD"/>
    <w:rsid w:val="009414B5"/>
    <w:rsid w:val="00941E41"/>
    <w:rsid w:val="009441F5"/>
    <w:rsid w:val="0094712B"/>
    <w:rsid w:val="00950BB1"/>
    <w:rsid w:val="00957BA0"/>
    <w:rsid w:val="00960199"/>
    <w:rsid w:val="0096164F"/>
    <w:rsid w:val="009752E2"/>
    <w:rsid w:val="00977816"/>
    <w:rsid w:val="00977F1D"/>
    <w:rsid w:val="00981E85"/>
    <w:rsid w:val="0099316A"/>
    <w:rsid w:val="00994658"/>
    <w:rsid w:val="009956A1"/>
    <w:rsid w:val="00997D2E"/>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0AF5"/>
    <w:rsid w:val="00A628C7"/>
    <w:rsid w:val="00A62A6D"/>
    <w:rsid w:val="00A62E8B"/>
    <w:rsid w:val="00A671B7"/>
    <w:rsid w:val="00A72117"/>
    <w:rsid w:val="00A75FAD"/>
    <w:rsid w:val="00A8115D"/>
    <w:rsid w:val="00A87786"/>
    <w:rsid w:val="00A90441"/>
    <w:rsid w:val="00A9700E"/>
    <w:rsid w:val="00AA6DE7"/>
    <w:rsid w:val="00AA78A7"/>
    <w:rsid w:val="00AC59B1"/>
    <w:rsid w:val="00AC70D7"/>
    <w:rsid w:val="00AD3A10"/>
    <w:rsid w:val="00AE3DF6"/>
    <w:rsid w:val="00AF09A3"/>
    <w:rsid w:val="00AF65F5"/>
    <w:rsid w:val="00B03C47"/>
    <w:rsid w:val="00B03DBC"/>
    <w:rsid w:val="00B0557B"/>
    <w:rsid w:val="00B12E0C"/>
    <w:rsid w:val="00B16CC6"/>
    <w:rsid w:val="00B23620"/>
    <w:rsid w:val="00B27FE0"/>
    <w:rsid w:val="00B314C9"/>
    <w:rsid w:val="00B32DF5"/>
    <w:rsid w:val="00B34023"/>
    <w:rsid w:val="00B34DF6"/>
    <w:rsid w:val="00B356B4"/>
    <w:rsid w:val="00B473E3"/>
    <w:rsid w:val="00B47707"/>
    <w:rsid w:val="00B521C8"/>
    <w:rsid w:val="00B53FF2"/>
    <w:rsid w:val="00B66D0D"/>
    <w:rsid w:val="00B70E8C"/>
    <w:rsid w:val="00B747A9"/>
    <w:rsid w:val="00B77ECA"/>
    <w:rsid w:val="00B898AD"/>
    <w:rsid w:val="00B913A7"/>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C0257C"/>
    <w:rsid w:val="00C13D8E"/>
    <w:rsid w:val="00C21627"/>
    <w:rsid w:val="00C2353D"/>
    <w:rsid w:val="00C237B3"/>
    <w:rsid w:val="00C276DF"/>
    <w:rsid w:val="00C31C91"/>
    <w:rsid w:val="00C3205C"/>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5C09"/>
    <w:rsid w:val="00CE5DF6"/>
    <w:rsid w:val="00CF1DE8"/>
    <w:rsid w:val="00D0024B"/>
    <w:rsid w:val="00D00D67"/>
    <w:rsid w:val="00D033F5"/>
    <w:rsid w:val="00D04567"/>
    <w:rsid w:val="00D0612F"/>
    <w:rsid w:val="00D06E02"/>
    <w:rsid w:val="00D13998"/>
    <w:rsid w:val="00D1439D"/>
    <w:rsid w:val="00D16DF0"/>
    <w:rsid w:val="00D20661"/>
    <w:rsid w:val="00D30995"/>
    <w:rsid w:val="00D44F42"/>
    <w:rsid w:val="00D479C0"/>
    <w:rsid w:val="00D54A62"/>
    <w:rsid w:val="00D54D2F"/>
    <w:rsid w:val="00D568A8"/>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46CE"/>
    <w:rsid w:val="00DD50F0"/>
    <w:rsid w:val="00DD633B"/>
    <w:rsid w:val="00DE0A3F"/>
    <w:rsid w:val="00DE0F82"/>
    <w:rsid w:val="00DE2C75"/>
    <w:rsid w:val="00DF20CF"/>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80494"/>
    <w:rsid w:val="00E82766"/>
    <w:rsid w:val="00E92DF5"/>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25F63"/>
    <w:rsid w:val="00F3105C"/>
    <w:rsid w:val="00F338FF"/>
    <w:rsid w:val="00F343F0"/>
    <w:rsid w:val="00F46DF5"/>
    <w:rsid w:val="00F52F3E"/>
    <w:rsid w:val="00F53ABA"/>
    <w:rsid w:val="00F60E4B"/>
    <w:rsid w:val="00F625ED"/>
    <w:rsid w:val="00F659F7"/>
    <w:rsid w:val="00F81267"/>
    <w:rsid w:val="00FA365A"/>
    <w:rsid w:val="00FB1B26"/>
    <w:rsid w:val="00FB1B7A"/>
    <w:rsid w:val="00FB42DB"/>
    <w:rsid w:val="00FB5662"/>
    <w:rsid w:val="00FC2FCB"/>
    <w:rsid w:val="00FC39BF"/>
    <w:rsid w:val="00FE0898"/>
    <w:rsid w:val="00FE2425"/>
    <w:rsid w:val="00FE4B30"/>
    <w:rsid w:val="00FE738C"/>
    <w:rsid w:val="00FF623F"/>
    <w:rsid w:val="00FF7AAE"/>
    <w:rsid w:val="016DE71C"/>
    <w:rsid w:val="019AC33A"/>
    <w:rsid w:val="03E7986E"/>
    <w:rsid w:val="064549B2"/>
    <w:rsid w:val="06636B6A"/>
    <w:rsid w:val="067D7127"/>
    <w:rsid w:val="06EF7503"/>
    <w:rsid w:val="0874A48F"/>
    <w:rsid w:val="0A15F37D"/>
    <w:rsid w:val="0A5A682E"/>
    <w:rsid w:val="0A7E76B6"/>
    <w:rsid w:val="0AF84FEB"/>
    <w:rsid w:val="0BA61747"/>
    <w:rsid w:val="0BD4CA1B"/>
    <w:rsid w:val="0C53F501"/>
    <w:rsid w:val="0C627CFE"/>
    <w:rsid w:val="0CA629B2"/>
    <w:rsid w:val="0E312DD0"/>
    <w:rsid w:val="1020334B"/>
    <w:rsid w:val="110BFF15"/>
    <w:rsid w:val="1259F4D4"/>
    <w:rsid w:val="125AD8C7"/>
    <w:rsid w:val="1263E451"/>
    <w:rsid w:val="14189B7F"/>
    <w:rsid w:val="150D1448"/>
    <w:rsid w:val="15461429"/>
    <w:rsid w:val="1698C99C"/>
    <w:rsid w:val="17AB0A48"/>
    <w:rsid w:val="18EE55DF"/>
    <w:rsid w:val="1962A476"/>
    <w:rsid w:val="1B0EC16B"/>
    <w:rsid w:val="1B49323B"/>
    <w:rsid w:val="1D415750"/>
    <w:rsid w:val="1E7D115A"/>
    <w:rsid w:val="1EF34234"/>
    <w:rsid w:val="1FA62C01"/>
    <w:rsid w:val="1FE31446"/>
    <w:rsid w:val="215E9BD2"/>
    <w:rsid w:val="2396A644"/>
    <w:rsid w:val="24038774"/>
    <w:rsid w:val="25267D10"/>
    <w:rsid w:val="273C4519"/>
    <w:rsid w:val="27A86229"/>
    <w:rsid w:val="28C54DA9"/>
    <w:rsid w:val="292F4509"/>
    <w:rsid w:val="2997659D"/>
    <w:rsid w:val="29C1F4D6"/>
    <w:rsid w:val="2A43201B"/>
    <w:rsid w:val="2AD9A495"/>
    <w:rsid w:val="2B9DDEA1"/>
    <w:rsid w:val="2D660A0F"/>
    <w:rsid w:val="2ECE2444"/>
    <w:rsid w:val="2F222C8D"/>
    <w:rsid w:val="2F4B8BEB"/>
    <w:rsid w:val="30B10F44"/>
    <w:rsid w:val="312D7BB2"/>
    <w:rsid w:val="32E04D25"/>
    <w:rsid w:val="33A016BE"/>
    <w:rsid w:val="33FD4B00"/>
    <w:rsid w:val="34DBA5E6"/>
    <w:rsid w:val="34EFF2B9"/>
    <w:rsid w:val="36AAE7F3"/>
    <w:rsid w:val="380B3798"/>
    <w:rsid w:val="3940E5FC"/>
    <w:rsid w:val="3942029E"/>
    <w:rsid w:val="3A33B02C"/>
    <w:rsid w:val="3A48DF73"/>
    <w:rsid w:val="3A6C88A6"/>
    <w:rsid w:val="3B50904F"/>
    <w:rsid w:val="3B7A0040"/>
    <w:rsid w:val="3CAD2D92"/>
    <w:rsid w:val="3D58B806"/>
    <w:rsid w:val="3DCB9DAE"/>
    <w:rsid w:val="40771A9E"/>
    <w:rsid w:val="407D54FF"/>
    <w:rsid w:val="409CFDD3"/>
    <w:rsid w:val="410D55A3"/>
    <w:rsid w:val="42482FFD"/>
    <w:rsid w:val="4394D5A5"/>
    <w:rsid w:val="44AE34D0"/>
    <w:rsid w:val="44D6D90E"/>
    <w:rsid w:val="46AFE9C5"/>
    <w:rsid w:val="47D7688B"/>
    <w:rsid w:val="48C7D384"/>
    <w:rsid w:val="49FA2515"/>
    <w:rsid w:val="4B3F2554"/>
    <w:rsid w:val="4B8A68CC"/>
    <w:rsid w:val="4C3350D7"/>
    <w:rsid w:val="4D32E3EA"/>
    <w:rsid w:val="4DA32849"/>
    <w:rsid w:val="4F6D5637"/>
    <w:rsid w:val="5043C7A8"/>
    <w:rsid w:val="5405F8B6"/>
    <w:rsid w:val="56083CC1"/>
    <w:rsid w:val="57183375"/>
    <w:rsid w:val="573D2983"/>
    <w:rsid w:val="57FA50AA"/>
    <w:rsid w:val="58366405"/>
    <w:rsid w:val="59856121"/>
    <w:rsid w:val="59A05979"/>
    <w:rsid w:val="5D804707"/>
    <w:rsid w:val="5E60B2B4"/>
    <w:rsid w:val="5F55897B"/>
    <w:rsid w:val="606EB1A6"/>
    <w:rsid w:val="61094DB3"/>
    <w:rsid w:val="62BA746E"/>
    <w:rsid w:val="640D5974"/>
    <w:rsid w:val="645F3D1E"/>
    <w:rsid w:val="65F78A97"/>
    <w:rsid w:val="670E906E"/>
    <w:rsid w:val="67C33427"/>
    <w:rsid w:val="6858DC77"/>
    <w:rsid w:val="6AE36B9C"/>
    <w:rsid w:val="6B94F151"/>
    <w:rsid w:val="6C2D4B4C"/>
    <w:rsid w:val="6CD9FCB4"/>
    <w:rsid w:val="6D017947"/>
    <w:rsid w:val="6D142AD2"/>
    <w:rsid w:val="6D35E76A"/>
    <w:rsid w:val="6D7BDD89"/>
    <w:rsid w:val="6E9B14EF"/>
    <w:rsid w:val="70704516"/>
    <w:rsid w:val="70F97AC0"/>
    <w:rsid w:val="71EB41EB"/>
    <w:rsid w:val="743AF21E"/>
    <w:rsid w:val="74FC8104"/>
    <w:rsid w:val="75678C48"/>
    <w:rsid w:val="7A17D755"/>
    <w:rsid w:val="7C300E3F"/>
    <w:rsid w:val="7CDE68F9"/>
    <w:rsid w:val="7D068B0E"/>
    <w:rsid w:val="7E92C021"/>
    <w:rsid w:val="7F8E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68E6C450"/>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861A4C"/>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86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istrations xmlns="3065d16d-8c0f-4d78-a5b7-1a85ab13f5a1" xsi:nil="true"/>
    <SharedWithUsers xmlns="68de436f-caba-42f4-9d44-8dd240517248">
      <UserInfo>
        <DisplayName/>
        <AccountId xsi:nil="true"/>
        <AccountType/>
      </UserInfo>
    </SharedWithUsers>
    <lcf76f155ced4ddcb4097134ff3c332f xmlns="3065d16d-8c0f-4d78-a5b7-1a85ab13f5a1">
      <Terms xmlns="http://schemas.microsoft.com/office/infopath/2007/PartnerControls"/>
    </lcf76f155ced4ddcb4097134ff3c332f>
    <TaxCatchAll xmlns="68de436f-caba-42f4-9d44-8dd24051724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F9F35E55D2BD43AB0BF46A7F7C7208" ma:contentTypeVersion="16" ma:contentTypeDescription="Create a new document." ma:contentTypeScope="" ma:versionID="f9d26abeb4f60f10ba52ee63400792a4">
  <xsd:schema xmlns:xsd="http://www.w3.org/2001/XMLSchema" xmlns:xs="http://www.w3.org/2001/XMLSchema" xmlns:p="http://schemas.microsoft.com/office/2006/metadata/properties" xmlns:ns2="3065d16d-8c0f-4d78-a5b7-1a85ab13f5a1" xmlns:ns3="68de436f-caba-42f4-9d44-8dd240517248" targetNamespace="http://schemas.microsoft.com/office/2006/metadata/properties" ma:root="true" ma:fieldsID="c6f20ae9e2a65ce9f63c6386085727cd" ns2:_="" ns3:_="">
    <xsd:import namespace="3065d16d-8c0f-4d78-a5b7-1a85ab13f5a1"/>
    <xsd:import namespace="68de436f-caba-42f4-9d44-8dd24051724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Registration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5d16d-8c0f-4d78-a5b7-1a85ab13f5a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3bbc829-9b67-4686-9433-94205668fb7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gistrations" ma:index="21" nillable="true" ma:displayName="Registrations" ma:description="# of applications received" ma:format="Dropdown" ma:internalName="Registrations" ma:percentage="FALSE">
      <xsd:simpleType>
        <xsd:restriction base="dms:Number"/>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e436f-caba-42f4-9d44-8dd24051724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b8965a9-50b2-4815-893b-e2cc7dc731a4}" ma:internalName="TaxCatchAll" ma:showField="CatchAllData" ma:web="68de436f-caba-42f4-9d44-8dd2405172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CE5B4-9D65-44C8-BCA4-AF123342318C}">
  <ds:schemaRefs>
    <ds:schemaRef ds:uri="http://schemas.microsoft.com/office/2006/metadata/properties"/>
    <ds:schemaRef ds:uri="http://schemas.microsoft.com/office/infopath/2007/PartnerControls"/>
    <ds:schemaRef ds:uri="3065d16d-8c0f-4d78-a5b7-1a85ab13f5a1"/>
    <ds:schemaRef ds:uri="68de436f-caba-42f4-9d44-8dd240517248"/>
  </ds:schemaRefs>
</ds:datastoreItem>
</file>

<file path=customXml/itemProps2.xml><?xml version="1.0" encoding="utf-8"?>
<ds:datastoreItem xmlns:ds="http://schemas.openxmlformats.org/officeDocument/2006/customXml" ds:itemID="{55DD4177-A3FA-445D-A618-4EE28D658F70}">
  <ds:schemaRefs>
    <ds:schemaRef ds:uri="http://schemas.openxmlformats.org/officeDocument/2006/bibliography"/>
  </ds:schemaRefs>
</ds:datastoreItem>
</file>

<file path=customXml/itemProps3.xml><?xml version="1.0" encoding="utf-8"?>
<ds:datastoreItem xmlns:ds="http://schemas.openxmlformats.org/officeDocument/2006/customXml" ds:itemID="{BD8EBA1D-0CD7-4E7D-8ED7-7D174DAD2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5d16d-8c0f-4d78-a5b7-1a85ab13f5a1"/>
    <ds:schemaRef ds:uri="68de436f-caba-42f4-9d44-8dd240517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25E0B-ED61-4895-904A-36D6C8271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8018</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Louisiana at Lafayette</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Activity Enhancement Fee Policy</dc:title>
  <dc:creator>landrum@ulm.edu</dc:creator>
  <cp:lastModifiedBy>Treina Kimble</cp:lastModifiedBy>
  <cp:revision>3</cp:revision>
  <cp:lastPrinted>2019-12-16T19:16:00Z</cp:lastPrinted>
  <dcterms:created xsi:type="dcterms:W3CDTF">2026-04-06T19:35:00Z</dcterms:created>
  <dcterms:modified xsi:type="dcterms:W3CDTF">2026-04-06T19:36:00Z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0x0101002BF9F35E55D2BD43AB0BF46A7F7C7208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ata-panorama-remediation-history">
    <vt:lpwstr>[{"title":"Student Activity Enhancement Fee Policy","pageNumber":0,"geomIndex":-1,"issueTypeId":"MissingTitleIssue:DOCX","dismiss":false,"pageNumbers":[-1],"coordinatesList":[null]},{"pageNumber":0,"geomIndex":65,"lastGeomIndex":84,"textElement":"I.\tPolicy Statement","headingStructure":"h1","identifiers":{"PARAGRAPH_ID":"2"},"issueTypeId":"HeadingStructureNotOneIssue:DOCX","dismiss":false,"pageNumbers":[-1],"coordinatesList":[null]},{"pageNumber":0,"geomIndex":65,"textElement":"I.\tPolicy Statement","lastGeomIndex":82,"listFormat":"upper-roman","identifiers":{"PARAGRAPH_ID":"2"},"issueTypeId":"FormattedListIssue:DOCX","dismiss":false,"pageNumbers":[1],"coordinatesList":[[57.24399948120117,181.1500244140625,117.22798538208008,30.081536769866943]]},{"pageNumber":0,"geomIndex":383,"textElement":"II.\tPurpose of Policy","lastGeomIndex":401,"listFormat":"upper-roman","identifiers":{"PARAGRAPH_ID":"4"},"issueTypeId":"FormattedListIssue:DOCX","dismiss":false,"pageNumbers":[1],"coordinatesList":[[54.099998474121094,277.4000244140625,121.77605438232422,7.320000171661377]]},{"pageNumber":0,"geomIndex":574,"textElement":"III.\tApplicability","lastGeomIndex":591,"listFormat":"upper-roman","identifiers":{"PARAGRAPH_ID":"6"},"issueTypeId":"FormattedListIssue:DOCX","dismiss":false,"pageNumbers":[1],"coordinatesList":[[54.099998474121094,344.3500061035156,98.01599884033203,7.320000171661377]]},{"pageNumber":0,"geomIndex":737,"textElement":"IV.\tDefinitions","lastGeomIndex":751,"listFormat":"upper-roman","identifiers":{"PARAGRAPH_ID":"8"},"issueTypeId":"FormattedListIssue:DOCX","dismiss":false,"pageNumbers":[1],"coordinatesList":[[54.099998474121094,411.29998779296875,90.27600860595703,7.320000171661377]]},{"pageNumber":0,"geomIndex":2254,"textElement":"V.\tPolicy Procedure","lastGeomIndex":2272,"listFormat":"upper-roman","identifiers":{"PARAGRAPH_ID":"22"},"issueTypeId":"FormattedListIssue:DOCX","dismiss":false,"pageNumbers":[2],"coordinatesList":[[54.099998474121094,152.9000244140625,119.37601470947266,7.320000171661377]]},{"pageNumber":0,"geomIndex":6429,"textElement":"VI.\tEnforcement","lastGeomIndex":6444,"listFormat":"upper-roman","identifiers":{"PARAGRAPH_ID":"51"},"issueTypeId":"FormattedListIssue:DOCX","dismiss":false,"pageNumbers":[3],"coordinatesList":[[54.099998474121094,490.20001220703125,100.18799591064453,7.320000171661377]]},{"pageNumber":0,"geomIndex":6800,"textElement":"VII.\tPolicy Management","lastGeomIndex":6821,"listFormat":"upper-roman","identifiers":{"PARAGRAPH_ID":"53"},"issueTypeId":"FormattedListIssue:DOCX","dismiss":false,"pageNumbers":[3],"coordinatesList":[[54.099998474121094,601.0999755859375,134.90401458740234,7.320000171661377]]},{"pageNumber":0,"geomIndex":6927,"textElement":"VIII.\tExclusions","lastGeomIndex":6943,"listFormat":"upper-roman","identifiers":{"PARAGRAPH_ID":"55"},"issueTypeId":"FormattedListIssue:DOCX","dismiss":false,"pageNumbers":[3],"coordinatesList":[[54.099998474121094,668.0499877929688,87.12000274658203,7.320000171661377]]},{"pageNumber":0,"geomIndex":7064,"textElement":"IX.\tEffective Date","lastGeomIndex":7081,"listFormat":"upper-roman","identifiers":{"PARAGRAPH_ID":"58"},"issueTypeId":"FormattedListIssue:DOCX","dismiss":false,"pageNumbers":[4],"coordinatesList":[[54.099998474121094,75.79998779296875,105.18000030517578,7.320000171661377]]},{"pageNumber":0,"geomIndex":7096,"textElement":"X. \tAdoption","lastGeomIndex":7107,"listFormat":"upper-roman","identifiers":{"PARAGRAPH_ID":"60"},"issueTypeId":"FormattedListIssue:DOCX","dismiss":false,"pageNumbers":[4],"coordinatesList":[[54.099998474121094,129.25,82.4520034790039,7.320000171661377]]},{"pageNumber":0,"geomIndex":7332,"textElement":"XI.\tAppendices, References and Related Materials","lastGeomIndex":7375,"listFormat":"upper-roman","identifiers":{"PARAGRAPH_ID":"66"},"issueTypeId":"FormattedListIssue:DOCX","dismiss":false,"pageNumbers":[4],"coordinatesList":[[54.099998474121094,276.1500244140625,267.3360366821289,7.320000171661377]]},{"pageNumber":0,"geomIndex":7439,"textElement":"XII.\tRevision History","lastGeomIndex":7459,"listFormat":"upper-roman","identifiers":{"PARAGRAPH_ID":"69"},"issueTypeId":"FormattedListIssue:DOCX","dismiss":false,"pageNumbers":[4],"coordinatesList":[[54.099998474121094,357.3999938964844,116.47200775146484,7.320000171661377]]}]</vt:lpwstr>
  </property>
</Properties>
</file>