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CA76" w14:textId="77777777" w:rsidR="003151C5" w:rsidRPr="00CD73D2" w:rsidRDefault="003151C5" w:rsidP="00BC6F8F">
      <w:pPr>
        <w:jc w:val="both"/>
      </w:pPr>
    </w:p>
    <w:p w14:paraId="18F460F3" w14:textId="0A74C4A3" w:rsidR="00C62E12" w:rsidRDefault="00C62E12" w:rsidP="00C62E12">
      <w:pPr>
        <w:pStyle w:val="Caption"/>
        <w:keepNext/>
      </w:pPr>
      <w:r>
        <w:t xml:space="preserve">Table </w:t>
      </w:r>
      <w:r w:rsidR="008D3D26">
        <w:fldChar w:fldCharType="begin"/>
      </w:r>
      <w:r w:rsidR="008D3D26">
        <w:instrText xml:space="preserve"> SEQ Table \* ARABIC </w:instrText>
      </w:r>
      <w:r w:rsidR="008D3D26">
        <w:fldChar w:fldCharType="separate"/>
      </w:r>
      <w:r>
        <w:rPr>
          <w:noProof/>
        </w:rPr>
        <w:t>1</w:t>
      </w:r>
      <w:r w:rsidR="008D3D26">
        <w:rPr>
          <w:noProof/>
        </w:rPr>
        <w:fldChar w:fldCharType="end"/>
      </w:r>
      <w: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67"/>
        <w:gridCol w:w="4286"/>
        <w:gridCol w:w="4795"/>
      </w:tblGrid>
      <w:tr w:rsidR="00EB28CB" w:rsidRPr="00065E93" w14:paraId="46DCCA90" w14:textId="77777777" w:rsidTr="00C62E12">
        <w:trPr>
          <w:trHeight w:val="1953"/>
        </w:trPr>
        <w:tc>
          <w:tcPr>
            <w:tcW w:w="2367" w:type="dxa"/>
            <w:shd w:val="clear" w:color="auto" w:fill="auto"/>
          </w:tcPr>
          <w:p w14:paraId="46DCCA77" w14:textId="77777777" w:rsidR="003151C5" w:rsidRPr="003151C5" w:rsidRDefault="00EB28CB" w:rsidP="003151C5">
            <w:pPr>
              <w:ind w:right="-112"/>
              <w:jc w:val="center"/>
            </w:pPr>
            <w:r>
              <w:rPr>
                <w:noProof/>
              </w:rPr>
              <w:drawing>
                <wp:inline distT="0" distB="0" distL="0" distR="0" wp14:anchorId="46DCCAD4" wp14:editId="3E31D9B3">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286" w:type="dxa"/>
            <w:shd w:val="clear" w:color="auto" w:fill="auto"/>
            <w:vAlign w:val="center"/>
          </w:tcPr>
          <w:p w14:paraId="46DCCA78" w14:textId="77777777" w:rsidR="003151C5" w:rsidRPr="006F6044" w:rsidRDefault="00D46F19" w:rsidP="003151C5">
            <w:pPr>
              <w:jc w:val="center"/>
              <w:rPr>
                <w:rFonts w:asciiTheme="minorHAnsi" w:hAnsiTheme="minorHAnsi"/>
                <w:b/>
                <w:i/>
                <w:sz w:val="32"/>
              </w:rPr>
            </w:pPr>
            <w:r>
              <w:rPr>
                <w:rFonts w:asciiTheme="minorHAnsi" w:hAnsiTheme="minorHAnsi"/>
                <w:b/>
                <w:i/>
                <w:sz w:val="32"/>
              </w:rPr>
              <w:t>Faculty Workload Policy</w:t>
            </w:r>
          </w:p>
          <w:p w14:paraId="46DCCA79" w14:textId="77777777" w:rsidR="003151C5" w:rsidRPr="006F6044" w:rsidRDefault="003151C5" w:rsidP="003151C5">
            <w:pPr>
              <w:jc w:val="center"/>
              <w:rPr>
                <w:rFonts w:asciiTheme="minorHAnsi" w:hAnsiTheme="minorHAnsi"/>
                <w:i/>
              </w:rPr>
            </w:pPr>
          </w:p>
        </w:tc>
        <w:tc>
          <w:tcPr>
            <w:tcW w:w="4795" w:type="dxa"/>
            <w:shd w:val="clear" w:color="auto" w:fill="auto"/>
            <w:vAlign w:val="center"/>
          </w:tcPr>
          <w:tbl>
            <w:tblPr>
              <w:tblpPr w:leftFromText="187" w:rightFromText="187" w:vertAnchor="text" w:horzAnchor="page" w:tblpX="635" w:tblpY="-1741"/>
              <w:tblOverlap w:val="never"/>
              <w:tblW w:w="456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91"/>
              <w:gridCol w:w="2178"/>
            </w:tblGrid>
            <w:tr w:rsidR="000D5D19" w:rsidRPr="00517994" w14:paraId="46DCCA7C" w14:textId="77777777" w:rsidTr="00603EB7">
              <w:trPr>
                <w:trHeight w:val="279"/>
              </w:trPr>
              <w:tc>
                <w:tcPr>
                  <w:tcW w:w="2391" w:type="dxa"/>
                  <w:shd w:val="clear" w:color="auto" w:fill="auto"/>
                  <w:tcMar>
                    <w:left w:w="86" w:type="dxa"/>
                    <w:right w:w="29" w:type="dxa"/>
                  </w:tcMar>
                  <w:vAlign w:val="bottom"/>
                </w:tcPr>
                <w:p w14:paraId="46DCCA7A"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178" w:type="dxa"/>
                  <w:shd w:val="clear" w:color="auto" w:fill="auto"/>
                  <w:vAlign w:val="bottom"/>
                </w:tcPr>
                <w:p w14:paraId="46DCCA7B" w14:textId="77777777" w:rsidR="000D5D19" w:rsidRPr="00517994" w:rsidRDefault="00D76D2C" w:rsidP="000D5D19">
                  <w:pPr>
                    <w:rPr>
                      <w:rFonts w:asciiTheme="minorHAnsi" w:hAnsiTheme="minorHAnsi"/>
                      <w:bCs/>
                      <w:sz w:val="20"/>
                      <w:szCs w:val="20"/>
                    </w:rPr>
                  </w:pPr>
                  <w:r>
                    <w:rPr>
                      <w:rFonts w:asciiTheme="minorHAnsi" w:hAnsiTheme="minorHAnsi"/>
                      <w:bCs/>
                      <w:sz w:val="20"/>
                      <w:szCs w:val="20"/>
                    </w:rPr>
                    <w:t>AA0</w:t>
                  </w:r>
                  <w:r w:rsidR="005A26CD">
                    <w:rPr>
                      <w:rFonts w:asciiTheme="minorHAnsi" w:hAnsiTheme="minorHAnsi"/>
                      <w:bCs/>
                      <w:sz w:val="20"/>
                      <w:szCs w:val="20"/>
                    </w:rPr>
                    <w:t>03</w:t>
                  </w:r>
                  <w:r>
                    <w:rPr>
                      <w:rFonts w:asciiTheme="minorHAnsi" w:hAnsiTheme="minorHAnsi"/>
                      <w:bCs/>
                      <w:sz w:val="20"/>
                      <w:szCs w:val="20"/>
                    </w:rPr>
                    <w:t>.</w:t>
                  </w:r>
                  <w:r w:rsidR="00603EB7">
                    <w:rPr>
                      <w:rFonts w:asciiTheme="minorHAnsi" w:hAnsiTheme="minorHAnsi"/>
                      <w:bCs/>
                      <w:sz w:val="20"/>
                      <w:szCs w:val="20"/>
                    </w:rPr>
                    <w:t>2</w:t>
                  </w:r>
                </w:p>
              </w:tc>
            </w:tr>
            <w:tr w:rsidR="000D5D19" w:rsidRPr="00517994" w14:paraId="46DCCA7F" w14:textId="77777777" w:rsidTr="00603EB7">
              <w:trPr>
                <w:trHeight w:val="257"/>
              </w:trPr>
              <w:tc>
                <w:tcPr>
                  <w:tcW w:w="2391" w:type="dxa"/>
                  <w:shd w:val="clear" w:color="auto" w:fill="auto"/>
                  <w:tcMar>
                    <w:left w:w="86" w:type="dxa"/>
                    <w:right w:w="29" w:type="dxa"/>
                  </w:tcMar>
                  <w:vAlign w:val="bottom"/>
                </w:tcPr>
                <w:p w14:paraId="46DCCA7D"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178" w:type="dxa"/>
                  <w:shd w:val="clear" w:color="auto" w:fill="auto"/>
                  <w:vAlign w:val="bottom"/>
                </w:tcPr>
                <w:p w14:paraId="46DCCA7E" w14:textId="77777777" w:rsidR="000D5D19" w:rsidRPr="00517994" w:rsidRDefault="00D76D2C"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46DCCA82" w14:textId="77777777" w:rsidTr="00603EB7">
              <w:trPr>
                <w:trHeight w:val="247"/>
              </w:trPr>
              <w:tc>
                <w:tcPr>
                  <w:tcW w:w="2391" w:type="dxa"/>
                  <w:tcBorders>
                    <w:top w:val="nil"/>
                    <w:bottom w:val="nil"/>
                  </w:tcBorders>
                  <w:shd w:val="clear" w:color="auto" w:fill="auto"/>
                  <w:tcMar>
                    <w:left w:w="86" w:type="dxa"/>
                    <w:right w:w="29" w:type="dxa"/>
                  </w:tcMar>
                </w:tcPr>
                <w:p w14:paraId="46DCCA80"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178" w:type="dxa"/>
                  <w:tcBorders>
                    <w:top w:val="nil"/>
                    <w:bottom w:val="nil"/>
                  </w:tcBorders>
                  <w:shd w:val="clear" w:color="auto" w:fill="auto"/>
                </w:tcPr>
                <w:p w14:paraId="46DCCA81" w14:textId="77777777" w:rsidR="000D5D19" w:rsidRPr="00517994" w:rsidRDefault="00D76D2C" w:rsidP="000D5D19">
                  <w:pPr>
                    <w:widowControl w:val="0"/>
                    <w:rPr>
                      <w:rFonts w:asciiTheme="minorHAnsi" w:hAnsiTheme="minorHAnsi"/>
                      <w:bCs/>
                      <w:sz w:val="20"/>
                      <w:szCs w:val="20"/>
                    </w:rPr>
                  </w:pPr>
                  <w:r>
                    <w:rPr>
                      <w:rFonts w:asciiTheme="minorHAnsi" w:hAnsiTheme="minorHAnsi"/>
                      <w:bCs/>
                      <w:sz w:val="20"/>
                      <w:szCs w:val="20"/>
                    </w:rPr>
                    <w:t>Provost</w:t>
                  </w:r>
                </w:p>
              </w:tc>
            </w:tr>
            <w:tr w:rsidR="000D5D19" w:rsidRPr="00517994" w14:paraId="46DCCA85" w14:textId="77777777" w:rsidTr="00603EB7">
              <w:trPr>
                <w:trHeight w:val="279"/>
              </w:trPr>
              <w:tc>
                <w:tcPr>
                  <w:tcW w:w="2391" w:type="dxa"/>
                  <w:tcBorders>
                    <w:top w:val="nil"/>
                    <w:bottom w:val="nil"/>
                  </w:tcBorders>
                  <w:shd w:val="clear" w:color="auto" w:fill="auto"/>
                  <w:tcMar>
                    <w:left w:w="86" w:type="dxa"/>
                    <w:right w:w="29" w:type="dxa"/>
                  </w:tcMar>
                  <w:vAlign w:val="bottom"/>
                </w:tcPr>
                <w:p w14:paraId="46DCCA83"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178" w:type="dxa"/>
                  <w:tcBorders>
                    <w:top w:val="nil"/>
                    <w:bottom w:val="nil"/>
                  </w:tcBorders>
                  <w:shd w:val="clear" w:color="auto" w:fill="auto"/>
                  <w:vAlign w:val="bottom"/>
                </w:tcPr>
                <w:p w14:paraId="46DCCA84" w14:textId="77777777" w:rsidR="000D5D19" w:rsidRPr="00517994" w:rsidRDefault="00D76D2C" w:rsidP="000D5D19">
                  <w:pPr>
                    <w:rPr>
                      <w:rFonts w:asciiTheme="minorHAnsi" w:hAnsiTheme="minorHAnsi"/>
                      <w:bCs/>
                      <w:sz w:val="20"/>
                      <w:szCs w:val="20"/>
                    </w:rPr>
                  </w:pPr>
                  <w:r>
                    <w:rPr>
                      <w:rFonts w:asciiTheme="minorHAnsi" w:hAnsiTheme="minorHAnsi"/>
                      <w:bCs/>
                      <w:sz w:val="20"/>
                      <w:szCs w:val="20"/>
                    </w:rPr>
                    <w:t>Academic Affairs</w:t>
                  </w:r>
                </w:p>
              </w:tc>
            </w:tr>
            <w:tr w:rsidR="000D5D19" w:rsidRPr="00517994" w14:paraId="46DCCA88" w14:textId="77777777" w:rsidTr="00603EB7">
              <w:trPr>
                <w:trHeight w:val="279"/>
              </w:trPr>
              <w:tc>
                <w:tcPr>
                  <w:tcW w:w="2391" w:type="dxa"/>
                  <w:tcBorders>
                    <w:top w:val="nil"/>
                  </w:tcBorders>
                  <w:shd w:val="clear" w:color="auto" w:fill="auto"/>
                  <w:tcMar>
                    <w:left w:w="86" w:type="dxa"/>
                    <w:right w:w="29" w:type="dxa"/>
                  </w:tcMar>
                  <w:vAlign w:val="bottom"/>
                </w:tcPr>
                <w:p w14:paraId="46DCCA86"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178" w:type="dxa"/>
                  <w:tcBorders>
                    <w:top w:val="nil"/>
                  </w:tcBorders>
                  <w:shd w:val="clear" w:color="auto" w:fill="auto"/>
                  <w:vAlign w:val="bottom"/>
                </w:tcPr>
                <w:p w14:paraId="46DCCA87" w14:textId="77777777" w:rsidR="000D5D19" w:rsidRPr="00517994" w:rsidRDefault="00D76D2C" w:rsidP="000D5D19">
                  <w:pPr>
                    <w:rPr>
                      <w:rFonts w:asciiTheme="minorHAnsi" w:hAnsiTheme="minorHAnsi"/>
                      <w:bCs/>
                      <w:sz w:val="20"/>
                      <w:szCs w:val="20"/>
                    </w:rPr>
                  </w:pPr>
                  <w:r>
                    <w:rPr>
                      <w:rFonts w:asciiTheme="minorHAnsi" w:hAnsiTheme="minorHAnsi"/>
                      <w:bCs/>
                      <w:sz w:val="20"/>
                      <w:szCs w:val="20"/>
                    </w:rPr>
                    <w:t>June 2, 2014</w:t>
                  </w:r>
                </w:p>
              </w:tc>
            </w:tr>
            <w:tr w:rsidR="000D5D19" w:rsidRPr="00517994" w14:paraId="46DCCA8B" w14:textId="77777777" w:rsidTr="00603EB7">
              <w:trPr>
                <w:trHeight w:val="279"/>
              </w:trPr>
              <w:tc>
                <w:tcPr>
                  <w:tcW w:w="2391" w:type="dxa"/>
                  <w:shd w:val="clear" w:color="auto" w:fill="auto"/>
                  <w:tcMar>
                    <w:left w:w="86" w:type="dxa"/>
                    <w:right w:w="29" w:type="dxa"/>
                  </w:tcMar>
                  <w:vAlign w:val="bottom"/>
                </w:tcPr>
                <w:p w14:paraId="46DCCA89"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178" w:type="dxa"/>
                  <w:shd w:val="clear" w:color="auto" w:fill="auto"/>
                  <w:vAlign w:val="bottom"/>
                </w:tcPr>
                <w:p w14:paraId="46DCCA8A" w14:textId="77777777" w:rsidR="000D5D19" w:rsidRPr="00517994" w:rsidRDefault="00071825" w:rsidP="000D5D19">
                  <w:pPr>
                    <w:tabs>
                      <w:tab w:val="left" w:pos="1867"/>
                    </w:tabs>
                    <w:ind w:right="-853"/>
                    <w:rPr>
                      <w:rFonts w:asciiTheme="minorHAnsi" w:hAnsiTheme="minorHAnsi"/>
                      <w:bCs/>
                      <w:sz w:val="20"/>
                      <w:szCs w:val="20"/>
                    </w:rPr>
                  </w:pPr>
                  <w:r>
                    <w:rPr>
                      <w:rFonts w:asciiTheme="minorHAnsi" w:hAnsiTheme="minorHAnsi"/>
                      <w:bCs/>
                      <w:sz w:val="20"/>
                      <w:szCs w:val="20"/>
                    </w:rPr>
                    <w:t>February 23, 2023</w:t>
                  </w:r>
                </w:p>
              </w:tc>
            </w:tr>
            <w:tr w:rsidR="000D5D19" w:rsidRPr="00517994" w14:paraId="46DCCA8E" w14:textId="77777777" w:rsidTr="00603EB7">
              <w:trPr>
                <w:trHeight w:val="279"/>
              </w:trPr>
              <w:tc>
                <w:tcPr>
                  <w:tcW w:w="2391" w:type="dxa"/>
                  <w:shd w:val="clear" w:color="auto" w:fill="auto"/>
                  <w:tcMar>
                    <w:left w:w="86" w:type="dxa"/>
                    <w:right w:w="29" w:type="dxa"/>
                  </w:tcMar>
                  <w:vAlign w:val="bottom"/>
                </w:tcPr>
                <w:p w14:paraId="46DCCA8C"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178" w:type="dxa"/>
                  <w:shd w:val="clear" w:color="auto" w:fill="auto"/>
                  <w:vAlign w:val="bottom"/>
                </w:tcPr>
                <w:p w14:paraId="46DCCA8D" w14:textId="77777777" w:rsidR="000D5D19" w:rsidRPr="00517994" w:rsidRDefault="00071825" w:rsidP="00603EB7">
                  <w:pPr>
                    <w:tabs>
                      <w:tab w:val="left" w:pos="1867"/>
                    </w:tabs>
                    <w:ind w:right="-853"/>
                    <w:rPr>
                      <w:rFonts w:asciiTheme="minorHAnsi" w:hAnsiTheme="minorHAnsi"/>
                      <w:bCs/>
                      <w:sz w:val="20"/>
                      <w:szCs w:val="20"/>
                    </w:rPr>
                  </w:pPr>
                  <w:r>
                    <w:rPr>
                      <w:rFonts w:asciiTheme="minorHAnsi" w:hAnsiTheme="minorHAnsi"/>
                      <w:bCs/>
                      <w:sz w:val="20"/>
                      <w:szCs w:val="20"/>
                    </w:rPr>
                    <w:t>February 23</w:t>
                  </w:r>
                  <w:r w:rsidR="00603EB7">
                    <w:rPr>
                      <w:rFonts w:asciiTheme="minorHAnsi" w:hAnsiTheme="minorHAnsi"/>
                      <w:bCs/>
                      <w:sz w:val="20"/>
                      <w:szCs w:val="20"/>
                    </w:rPr>
                    <w:t>, 2023</w:t>
                  </w:r>
                </w:p>
              </w:tc>
            </w:tr>
          </w:tbl>
          <w:p w14:paraId="46DCCA8F" w14:textId="77777777" w:rsidR="003151C5" w:rsidRPr="006F6044" w:rsidRDefault="003151C5" w:rsidP="003151C5">
            <w:pPr>
              <w:rPr>
                <w:rFonts w:asciiTheme="minorHAnsi" w:hAnsiTheme="minorHAnsi"/>
                <w:b/>
                <w:sz w:val="20"/>
              </w:rPr>
            </w:pPr>
          </w:p>
        </w:tc>
      </w:tr>
    </w:tbl>
    <w:p w14:paraId="46DCCA91" w14:textId="77777777" w:rsidR="001518A1" w:rsidRPr="00D70333" w:rsidRDefault="001518A1" w:rsidP="00DB4992">
      <w:pPr>
        <w:pStyle w:val="Heading1"/>
        <w:numPr>
          <w:ilvl w:val="0"/>
          <w:numId w:val="34"/>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46DCCA92" w14:textId="77777777" w:rsidR="0032217F" w:rsidRPr="0032217F" w:rsidRDefault="0032217F" w:rsidP="00603EB7">
      <w:pPr>
        <w:widowControl w:val="0"/>
        <w:autoSpaceDE w:val="0"/>
        <w:autoSpaceDN w:val="0"/>
        <w:spacing w:before="120"/>
        <w:ind w:right="662"/>
        <w:rPr>
          <w:rFonts w:ascii="Calibri" w:eastAsia="Calibri" w:hAnsi="Calibri" w:cs="Calibri"/>
        </w:rPr>
      </w:pPr>
      <w:bookmarkStart w:id="1" w:name="_II._Purpose_of"/>
      <w:bookmarkEnd w:id="1"/>
      <w:r w:rsidRPr="0032217F">
        <w:rPr>
          <w:rFonts w:ascii="Calibri" w:eastAsia="Calibri" w:hAnsi="Calibri" w:cs="Calibri"/>
        </w:rPr>
        <w:t xml:space="preserve">Teaching is not the only component of a faculty member’s workload, as research, creative activities, and service to the institution are integral and necessary duties that faculty perform.  This fact is recognized within </w:t>
      </w:r>
      <w:hyperlink r:id="rId12" w:history="1">
        <w:r w:rsidRPr="0032217F">
          <w:rPr>
            <w:rFonts w:ascii="Calibri" w:eastAsia="Calibri" w:hAnsi="Calibri" w:cs="Calibri"/>
            <w:color w:val="0000FF"/>
            <w:u w:val="single"/>
          </w:rPr>
          <w:t>UL System policy</w:t>
        </w:r>
      </w:hyperlink>
      <w:r w:rsidRPr="0032217F">
        <w:rPr>
          <w:rFonts w:ascii="Calibri" w:eastAsia="Calibri" w:hAnsi="Calibri" w:cs="Calibri"/>
        </w:rPr>
        <w:t>, which states that the typical workload expectations for faculty will include all of these components commensurate with the mission of each institution. While this policy has a mandate that each faculty member be assigned a minimum of 24 semester credit hours of undergraduate instruction, or its equivalent, each academic year, it anticipates exceptions and adjustments, such as higher teaching minima for faculty who are engaged in instructional activities only, and allowance of lower instructional assignments for scholarly activities and other factors such as “special accreditation requirements, nature of the subject taught, number of different preparations, number of students taught, level of course (undergraduate, graduate, or mix) other special assignments, etc.”  The System policy also expects the instructional component of faculty to be lowered for performing specific duties other than instruction (ex. administrative, research, etc.).</w:t>
      </w:r>
    </w:p>
    <w:p w14:paraId="46DCCA93" w14:textId="77777777" w:rsidR="00603EB7" w:rsidRDefault="00603EB7" w:rsidP="00603EB7">
      <w:pPr>
        <w:widowControl w:val="0"/>
        <w:autoSpaceDE w:val="0"/>
        <w:autoSpaceDN w:val="0"/>
        <w:ind w:right="662"/>
        <w:rPr>
          <w:rFonts w:ascii="Calibri" w:eastAsia="Calibri" w:hAnsi="Calibri" w:cs="Calibri"/>
        </w:rPr>
      </w:pPr>
    </w:p>
    <w:p w14:paraId="46DCCA94" w14:textId="77777777" w:rsidR="0032217F" w:rsidRDefault="0032217F" w:rsidP="00603EB7">
      <w:pPr>
        <w:widowControl w:val="0"/>
        <w:autoSpaceDE w:val="0"/>
        <w:autoSpaceDN w:val="0"/>
        <w:ind w:right="662"/>
        <w:rPr>
          <w:rFonts w:ascii="Calibri" w:eastAsia="Calibri" w:hAnsi="Calibri" w:cs="Calibri"/>
        </w:rPr>
      </w:pPr>
      <w:r w:rsidRPr="0032217F">
        <w:rPr>
          <w:rFonts w:ascii="Calibri" w:eastAsia="Calibri" w:hAnsi="Calibri" w:cs="Calibri"/>
        </w:rPr>
        <w:t>Due to the diversity of programs at ULM, developing a workload policy that fits every school and discipline is beyond challenging; thus, faculty workload should be defined at the school level and approved by the Dean and Provost.  This policy defines the process for creating such policies.</w:t>
      </w:r>
    </w:p>
    <w:p w14:paraId="46DCCA95" w14:textId="77777777" w:rsidR="00603EB7" w:rsidRPr="0032217F" w:rsidRDefault="00603EB7" w:rsidP="00603EB7">
      <w:pPr>
        <w:widowControl w:val="0"/>
        <w:autoSpaceDE w:val="0"/>
        <w:autoSpaceDN w:val="0"/>
        <w:ind w:right="662"/>
        <w:rPr>
          <w:rFonts w:ascii="Calibri" w:eastAsia="Calibri" w:hAnsi="Calibri" w:cs="Calibri"/>
        </w:rPr>
      </w:pPr>
    </w:p>
    <w:p w14:paraId="46DCCA96" w14:textId="77777777" w:rsidR="007D240C" w:rsidRPr="006F6044" w:rsidRDefault="007D240C" w:rsidP="00DB4992">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sidRPr="006F6044">
        <w:rPr>
          <w:rFonts w:asciiTheme="minorHAnsi" w:hAnsiTheme="minorHAnsi"/>
        </w:rPr>
        <w:tab/>
        <w:t>Purpose of Policy</w:t>
      </w:r>
    </w:p>
    <w:p w14:paraId="46DCCA97" w14:textId="77777777" w:rsidR="00C42EEC" w:rsidRPr="00C42EEC" w:rsidRDefault="00C42EEC" w:rsidP="00603EB7">
      <w:pPr>
        <w:widowControl w:val="0"/>
        <w:autoSpaceDE w:val="0"/>
        <w:autoSpaceDN w:val="0"/>
        <w:spacing w:before="120"/>
        <w:ind w:right="706"/>
        <w:rPr>
          <w:rFonts w:ascii="Calibri" w:eastAsia="Calibri" w:hAnsi="Calibri" w:cs="Calibri"/>
        </w:rPr>
      </w:pPr>
      <w:bookmarkStart w:id="2" w:name="_III._Applicability"/>
      <w:bookmarkEnd w:id="2"/>
      <w:r w:rsidRPr="00C42EEC">
        <w:rPr>
          <w:rFonts w:ascii="Calibri" w:eastAsia="Calibri" w:hAnsi="Calibri" w:cs="Calibri"/>
        </w:rPr>
        <w:t>Because of the critical role of faculty in the achievement of the University's mission, it is in the best interest for the long-term success of the University to develop a fair and equitable faculty workload policy.  Additionally, it is well understood that because of the diversity of programs throughout the University, the variety of delivery methods (in-class, online, labs, clinicals, seminars, team-taught classes, performance-related classes, and differing class sizes), and other faculty responsibilities, as well as external guidelines and expectations related to specific accreditation requirements, it is challenging to develop a workload policy that fits every situation across campus. It makes the most sense for faculty workload to be defined at the unit level, which is currently the school.</w:t>
      </w:r>
    </w:p>
    <w:p w14:paraId="46DCCA98" w14:textId="77777777" w:rsidR="00C42EEC" w:rsidRDefault="00C42EEC" w:rsidP="00603EB7">
      <w:pPr>
        <w:widowControl w:val="0"/>
        <w:autoSpaceDE w:val="0"/>
        <w:autoSpaceDN w:val="0"/>
        <w:ind w:left="619" w:right="706"/>
        <w:rPr>
          <w:rFonts w:ascii="Calibri" w:eastAsia="Calibri" w:hAnsi="Calibri" w:cs="Calibri"/>
        </w:rPr>
      </w:pPr>
    </w:p>
    <w:p w14:paraId="46DCCA99" w14:textId="77777777" w:rsidR="00C42EEC" w:rsidRPr="00C42EEC" w:rsidRDefault="00C42EEC" w:rsidP="00603EB7">
      <w:pPr>
        <w:widowControl w:val="0"/>
        <w:autoSpaceDE w:val="0"/>
        <w:autoSpaceDN w:val="0"/>
        <w:ind w:right="706"/>
        <w:rPr>
          <w:rFonts w:ascii="Calibri" w:eastAsia="Calibri" w:hAnsi="Calibri" w:cs="Calibri"/>
        </w:rPr>
      </w:pPr>
      <w:r w:rsidRPr="00C42EEC">
        <w:rPr>
          <w:rFonts w:ascii="Calibri" w:eastAsia="Calibri" w:hAnsi="Calibri" w:cs="Calibri"/>
        </w:rPr>
        <w:t>There are, however, a set of guiding principles that are important for the development of the Faculty Workload Policy:</w:t>
      </w:r>
    </w:p>
    <w:p w14:paraId="46DCCA9A" w14:textId="77777777" w:rsidR="00C42EEC" w:rsidRPr="00C42EEC" w:rsidRDefault="00C42EEC" w:rsidP="00603EB7">
      <w:pPr>
        <w:widowControl w:val="0"/>
        <w:numPr>
          <w:ilvl w:val="0"/>
          <w:numId w:val="30"/>
        </w:numPr>
        <w:autoSpaceDE w:val="0"/>
        <w:autoSpaceDN w:val="0"/>
        <w:spacing w:before="120"/>
        <w:ind w:left="648"/>
        <w:rPr>
          <w:rFonts w:ascii="Calibri" w:eastAsia="Calibri" w:hAnsi="Calibri" w:cs="Calibri"/>
        </w:rPr>
      </w:pPr>
      <w:r w:rsidRPr="00C42EEC">
        <w:rPr>
          <w:rFonts w:ascii="Calibri" w:eastAsia="Calibri" w:hAnsi="Calibri" w:cs="Calibri"/>
        </w:rPr>
        <w:t>The educational needs of students and the achievement of the University mission statement must be a priority.</w:t>
      </w:r>
    </w:p>
    <w:p w14:paraId="46DCCA9B" w14:textId="77777777" w:rsidR="00C42EEC" w:rsidRPr="00C42EEC" w:rsidRDefault="00C42EEC" w:rsidP="00603EB7">
      <w:pPr>
        <w:widowControl w:val="0"/>
        <w:numPr>
          <w:ilvl w:val="0"/>
          <w:numId w:val="30"/>
        </w:numPr>
        <w:autoSpaceDE w:val="0"/>
        <w:autoSpaceDN w:val="0"/>
        <w:spacing w:before="52"/>
        <w:ind w:left="648"/>
        <w:rPr>
          <w:rFonts w:ascii="Calibri" w:eastAsia="Calibri" w:hAnsi="Calibri" w:cs="Calibri"/>
        </w:rPr>
      </w:pPr>
      <w:r w:rsidRPr="00C42EEC">
        <w:rPr>
          <w:rFonts w:ascii="Calibri" w:eastAsia="Calibri" w:hAnsi="Calibri" w:cs="Calibri"/>
        </w:rPr>
        <w:t>A workload policy must provide a systematic, yet flexible, method of determining tangible faculty work effort and provide support to school directors in the faculty evaluation process.</w:t>
      </w:r>
    </w:p>
    <w:p w14:paraId="46DCCA9C" w14:textId="77777777" w:rsidR="00C42EEC" w:rsidRPr="00C42EEC" w:rsidRDefault="00C42EEC" w:rsidP="00603EB7">
      <w:pPr>
        <w:widowControl w:val="0"/>
        <w:numPr>
          <w:ilvl w:val="0"/>
          <w:numId w:val="30"/>
        </w:numPr>
        <w:autoSpaceDE w:val="0"/>
        <w:autoSpaceDN w:val="0"/>
        <w:spacing w:before="52"/>
        <w:ind w:left="648"/>
        <w:rPr>
          <w:rFonts w:ascii="Calibri" w:eastAsia="Calibri" w:hAnsi="Calibri" w:cs="Calibri"/>
        </w:rPr>
      </w:pPr>
      <w:r w:rsidRPr="00C42EEC">
        <w:rPr>
          <w:rFonts w:ascii="Calibri" w:eastAsia="Calibri" w:hAnsi="Calibri" w:cs="Calibri"/>
        </w:rPr>
        <w:t xml:space="preserve">The workload policy ensures that no single faculty member experiences a greater workload </w:t>
      </w:r>
      <w:r w:rsidRPr="00C42EEC">
        <w:rPr>
          <w:rFonts w:ascii="Calibri" w:eastAsia="Calibri" w:hAnsi="Calibri" w:cs="Calibri"/>
        </w:rPr>
        <w:lastRenderedPageBreak/>
        <w:t>burden without recognition of that greater burden and justification for same.</w:t>
      </w:r>
    </w:p>
    <w:p w14:paraId="46DCCA9D" w14:textId="77777777" w:rsidR="00C42EEC" w:rsidRPr="00C42EEC" w:rsidRDefault="00C42EEC" w:rsidP="00603EB7">
      <w:pPr>
        <w:widowControl w:val="0"/>
        <w:numPr>
          <w:ilvl w:val="0"/>
          <w:numId w:val="30"/>
        </w:numPr>
        <w:autoSpaceDE w:val="0"/>
        <w:autoSpaceDN w:val="0"/>
        <w:spacing w:before="52"/>
        <w:ind w:left="648"/>
        <w:rPr>
          <w:rFonts w:ascii="Calibri" w:eastAsia="Calibri" w:hAnsi="Calibri" w:cs="Calibri"/>
        </w:rPr>
      </w:pPr>
      <w:r w:rsidRPr="00C42EEC">
        <w:rPr>
          <w:rFonts w:ascii="Calibri" w:eastAsia="Calibri" w:hAnsi="Calibri" w:cs="Calibri"/>
        </w:rPr>
        <w:t>The workload policy provides guidelines for a fair and equitable assignment of workload for all faculty members.</w:t>
      </w:r>
    </w:p>
    <w:p w14:paraId="46DCCA9E" w14:textId="77777777" w:rsidR="00C42EEC" w:rsidRPr="00C42EEC" w:rsidRDefault="00C42EEC" w:rsidP="00603EB7">
      <w:pPr>
        <w:widowControl w:val="0"/>
        <w:numPr>
          <w:ilvl w:val="0"/>
          <w:numId w:val="30"/>
        </w:numPr>
        <w:autoSpaceDE w:val="0"/>
        <w:autoSpaceDN w:val="0"/>
        <w:spacing w:before="52"/>
        <w:ind w:left="648"/>
        <w:rPr>
          <w:rFonts w:ascii="Calibri" w:eastAsia="Calibri" w:hAnsi="Calibri" w:cs="Calibri"/>
        </w:rPr>
      </w:pPr>
      <w:r w:rsidRPr="00C42EEC">
        <w:rPr>
          <w:rFonts w:ascii="Calibri" w:eastAsia="Calibri" w:hAnsi="Calibri" w:cs="Calibri"/>
        </w:rPr>
        <w:t>The workload policy provides a consistent means of reporting faculty workload which is closely tied to faculty development and evaluation.</w:t>
      </w:r>
    </w:p>
    <w:p w14:paraId="46DCCA9F" w14:textId="77777777" w:rsidR="00C42EEC" w:rsidRPr="00C42EEC" w:rsidRDefault="00C42EEC" w:rsidP="00603EB7">
      <w:pPr>
        <w:widowControl w:val="0"/>
        <w:autoSpaceDE w:val="0"/>
        <w:autoSpaceDN w:val="0"/>
        <w:ind w:left="619" w:right="706"/>
        <w:rPr>
          <w:rFonts w:ascii="Calibri" w:eastAsia="Calibri" w:hAnsi="Calibri" w:cs="Calibri"/>
        </w:rPr>
      </w:pPr>
    </w:p>
    <w:p w14:paraId="46DCCAA0" w14:textId="77777777" w:rsidR="00C42EEC" w:rsidRDefault="00C42EEC" w:rsidP="00603EB7">
      <w:pPr>
        <w:widowControl w:val="0"/>
        <w:autoSpaceDE w:val="0"/>
        <w:autoSpaceDN w:val="0"/>
        <w:ind w:right="706"/>
        <w:rPr>
          <w:rFonts w:ascii="Calibri" w:eastAsia="Calibri" w:hAnsi="Calibri" w:cs="Calibri"/>
        </w:rPr>
      </w:pPr>
      <w:r w:rsidRPr="00C42EEC">
        <w:rPr>
          <w:rFonts w:ascii="Calibri" w:eastAsia="Calibri" w:hAnsi="Calibri" w:cs="Calibri"/>
        </w:rPr>
        <w:t>Equitable workload policies recognize and respect the demands that activities place on a faculty member's time, and are designed to best utilize each faculty member's individual strengths.</w:t>
      </w:r>
      <w:r w:rsidR="00603EB7">
        <w:rPr>
          <w:rFonts w:ascii="Calibri" w:eastAsia="Calibri" w:hAnsi="Calibri" w:cs="Calibri"/>
        </w:rPr>
        <w:t xml:space="preserve"> </w:t>
      </w:r>
      <w:r w:rsidRPr="00C42EEC">
        <w:rPr>
          <w:rFonts w:ascii="Calibri" w:eastAsia="Calibri" w:hAnsi="Calibri" w:cs="Calibri"/>
        </w:rPr>
        <w:t>Additionally, faculty workload should be in the best interest of the University to help support achievement of the University's vision, mission, and long-term strategic goals.</w:t>
      </w:r>
    </w:p>
    <w:p w14:paraId="46DCCAA1" w14:textId="77777777" w:rsidR="00603EB7" w:rsidRPr="00C42EEC" w:rsidRDefault="00603EB7" w:rsidP="00603EB7">
      <w:pPr>
        <w:widowControl w:val="0"/>
        <w:autoSpaceDE w:val="0"/>
        <w:autoSpaceDN w:val="0"/>
        <w:ind w:right="706"/>
        <w:rPr>
          <w:rFonts w:ascii="Calibri" w:eastAsia="Calibri" w:hAnsi="Calibri" w:cs="Calibri"/>
        </w:rPr>
      </w:pPr>
    </w:p>
    <w:p w14:paraId="46DCCAA2" w14:textId="77777777" w:rsidR="009C60B1" w:rsidRPr="000D1A7A" w:rsidRDefault="009C60B1" w:rsidP="00DB4992">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sidRPr="000D1A7A">
        <w:rPr>
          <w:rFonts w:asciiTheme="minorHAnsi" w:hAnsiTheme="minorHAnsi"/>
        </w:rPr>
        <w:tab/>
        <w:t>Applicability</w:t>
      </w:r>
    </w:p>
    <w:p w14:paraId="46DCCAA3" w14:textId="77777777" w:rsidR="005949FB" w:rsidRPr="000D1A7A" w:rsidRDefault="00D76D2C" w:rsidP="00603EB7">
      <w:pPr>
        <w:spacing w:before="120" w:after="240"/>
        <w:rPr>
          <w:rFonts w:asciiTheme="minorHAnsi" w:hAnsiTheme="minorHAnsi"/>
          <w:b/>
          <w:u w:val="single"/>
        </w:rPr>
      </w:pPr>
      <w:r w:rsidRPr="00D76D2C">
        <w:rPr>
          <w:rFonts w:asciiTheme="minorHAnsi" w:hAnsiTheme="minorHAnsi"/>
        </w:rPr>
        <w:t xml:space="preserve">This Policy is applicable to </w:t>
      </w:r>
      <w:r w:rsidR="00C42EEC">
        <w:rPr>
          <w:rFonts w:asciiTheme="minorHAnsi" w:hAnsiTheme="minorHAnsi"/>
        </w:rPr>
        <w:t xml:space="preserve">all full-time </w:t>
      </w:r>
      <w:r w:rsidRPr="00D76D2C">
        <w:rPr>
          <w:rFonts w:asciiTheme="minorHAnsi" w:hAnsiTheme="minorHAnsi"/>
        </w:rPr>
        <w:t>faculty</w:t>
      </w:r>
      <w:r w:rsidR="00C42EEC">
        <w:rPr>
          <w:rFonts w:asciiTheme="minorHAnsi" w:hAnsiTheme="minorHAnsi"/>
        </w:rPr>
        <w:t>.</w:t>
      </w:r>
      <w:r w:rsidRPr="00D76D2C">
        <w:rPr>
          <w:rFonts w:asciiTheme="minorHAnsi" w:hAnsiTheme="minorHAnsi"/>
        </w:rPr>
        <w:t xml:space="preserve"> </w:t>
      </w:r>
    </w:p>
    <w:p w14:paraId="46DCCAA4" w14:textId="77777777" w:rsidR="00C42EEC" w:rsidRDefault="009C60B1" w:rsidP="008E64D2">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D1A7A">
        <w:rPr>
          <w:rFonts w:asciiTheme="minorHAnsi" w:hAnsiTheme="minorHAnsi"/>
        </w:rPr>
        <w:tab/>
        <w:t>Definitions</w:t>
      </w:r>
      <w:bookmarkStart w:id="4" w:name="_V._Policy_Procedure"/>
      <w:bookmarkEnd w:id="4"/>
    </w:p>
    <w:p w14:paraId="46DCCAA5" w14:textId="77777777" w:rsidR="008E64D2" w:rsidRDefault="00E1214A" w:rsidP="00331EC2">
      <w:pPr>
        <w:spacing w:before="160"/>
        <w:rPr>
          <w:rFonts w:asciiTheme="minorHAnsi" w:eastAsia="Calibri" w:hAnsiTheme="minorHAnsi" w:cstheme="minorHAnsi"/>
        </w:rPr>
      </w:pPr>
      <w:r>
        <w:rPr>
          <w:rFonts w:asciiTheme="minorHAnsi" w:eastAsia="Calibri" w:hAnsiTheme="minorHAnsi" w:cstheme="minorHAnsi"/>
          <w:b/>
        </w:rPr>
        <w:t>Unit</w:t>
      </w:r>
      <w:r w:rsidR="00603EB7" w:rsidRPr="00E1214A">
        <w:rPr>
          <w:rFonts w:asciiTheme="minorHAnsi" w:hAnsiTheme="minorHAnsi" w:cstheme="minorHAnsi"/>
          <w:b/>
        </w:rPr>
        <w:t xml:space="preserve"> - </w:t>
      </w:r>
      <w:r w:rsidR="00D46F19" w:rsidRPr="00E1214A">
        <w:rPr>
          <w:rFonts w:asciiTheme="minorHAnsi" w:eastAsia="Calibri" w:hAnsiTheme="minorHAnsi" w:cstheme="minorHAnsi"/>
        </w:rPr>
        <w:t>For this policy, a "Unit" is considered a school residing within a college.</w:t>
      </w:r>
    </w:p>
    <w:p w14:paraId="46DCCAA7" w14:textId="77777777" w:rsidR="008E64D2" w:rsidRDefault="00DB73B9" w:rsidP="00E1214A">
      <w:pPr>
        <w:pStyle w:val="ListParagraph"/>
        <w:spacing w:after="0"/>
        <w:ind w:left="0"/>
        <w:rPr>
          <w:rFonts w:asciiTheme="minorHAnsi" w:hAnsiTheme="minorHAnsi" w:cstheme="minorHAnsi"/>
          <w:sz w:val="24"/>
          <w:szCs w:val="24"/>
        </w:rPr>
      </w:pPr>
      <w:r w:rsidRPr="00E1214A">
        <w:rPr>
          <w:rFonts w:asciiTheme="minorHAnsi" w:hAnsiTheme="minorHAnsi" w:cstheme="minorHAnsi"/>
          <w:b/>
          <w:sz w:val="24"/>
          <w:szCs w:val="24"/>
        </w:rPr>
        <w:t>Unit Head</w:t>
      </w:r>
      <w:r w:rsidR="00E1214A" w:rsidRPr="00E1214A">
        <w:rPr>
          <w:rFonts w:asciiTheme="minorHAnsi" w:hAnsiTheme="minorHAnsi" w:cstheme="minorHAnsi"/>
          <w:b/>
          <w:sz w:val="24"/>
          <w:szCs w:val="24"/>
        </w:rPr>
        <w:t xml:space="preserve"> - </w:t>
      </w:r>
      <w:r w:rsidRPr="00E1214A">
        <w:rPr>
          <w:rFonts w:asciiTheme="minorHAnsi" w:hAnsiTheme="minorHAnsi" w:cstheme="minorHAnsi"/>
          <w:sz w:val="24"/>
          <w:szCs w:val="24"/>
        </w:rPr>
        <w:t>For this policy, a “Unit Head” will refer to the School Director.</w:t>
      </w:r>
    </w:p>
    <w:p w14:paraId="46DCCAA8" w14:textId="77777777" w:rsidR="00E1214A" w:rsidRPr="00E1214A" w:rsidRDefault="00E1214A" w:rsidP="00E1214A">
      <w:pPr>
        <w:pStyle w:val="ListParagraph"/>
        <w:spacing w:after="0"/>
        <w:ind w:left="0"/>
        <w:rPr>
          <w:rFonts w:asciiTheme="minorHAnsi" w:hAnsiTheme="minorHAnsi" w:cstheme="minorHAnsi"/>
          <w:sz w:val="24"/>
          <w:szCs w:val="24"/>
        </w:rPr>
      </w:pPr>
    </w:p>
    <w:p w14:paraId="46DCCAA9" w14:textId="77777777" w:rsidR="009C60B1" w:rsidRPr="000D1A7A" w:rsidRDefault="009C60B1" w:rsidP="00DB4992">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sidRPr="000D1A7A">
        <w:rPr>
          <w:rFonts w:asciiTheme="minorHAnsi" w:hAnsiTheme="minorHAnsi"/>
        </w:rPr>
        <w:tab/>
        <w:t>Policy Procedure</w:t>
      </w:r>
    </w:p>
    <w:p w14:paraId="46DCCAAA" w14:textId="77777777" w:rsidR="00DB73B9" w:rsidRPr="00DB73B9" w:rsidRDefault="00DB73B9" w:rsidP="00E1214A">
      <w:pPr>
        <w:widowControl w:val="0"/>
        <w:autoSpaceDE w:val="0"/>
        <w:autoSpaceDN w:val="0"/>
        <w:spacing w:before="120"/>
        <w:rPr>
          <w:rFonts w:ascii="Calibri" w:eastAsia="Calibri" w:hAnsi="Calibri" w:cs="Calibri"/>
          <w:b/>
          <w:bCs/>
        </w:rPr>
      </w:pPr>
      <w:bookmarkStart w:id="5" w:name="_VI._Enforcement"/>
      <w:bookmarkEnd w:id="5"/>
      <w:r w:rsidRPr="00DB73B9">
        <w:rPr>
          <w:rFonts w:ascii="Calibri" w:eastAsia="Calibri" w:hAnsi="Calibri" w:cs="Calibri"/>
          <w:b/>
          <w:bCs/>
        </w:rPr>
        <w:t>ULM Workload Criteria</w:t>
      </w:r>
    </w:p>
    <w:p w14:paraId="46DCCAAB" w14:textId="77777777" w:rsidR="00DB73B9" w:rsidRPr="00DB73B9" w:rsidRDefault="00DB73B9" w:rsidP="00DB73B9">
      <w:pPr>
        <w:widowControl w:val="0"/>
        <w:autoSpaceDE w:val="0"/>
        <w:autoSpaceDN w:val="0"/>
        <w:spacing w:before="5"/>
        <w:rPr>
          <w:rFonts w:ascii="Calibri" w:eastAsia="Calibri" w:hAnsi="Calibri" w:cs="Calibri"/>
        </w:rPr>
      </w:pPr>
      <w:r w:rsidRPr="00DB73B9">
        <w:rPr>
          <w:rFonts w:ascii="Calibri" w:eastAsia="Calibri" w:hAnsi="Calibri" w:cs="Calibri"/>
        </w:rPr>
        <w:t>In alignment with the ULS guidelines and in support of ULM's mission, ULM defines faculty workload activities in three broad categories of Teaching and Teaching-Related Activities, Scholarly Activities, and Service.</w:t>
      </w:r>
    </w:p>
    <w:p w14:paraId="46DCCAAC" w14:textId="77777777" w:rsidR="00DB73B9" w:rsidRPr="00DB73B9" w:rsidRDefault="00DB73B9" w:rsidP="00E1214A">
      <w:pPr>
        <w:widowControl w:val="0"/>
        <w:autoSpaceDE w:val="0"/>
        <w:autoSpaceDN w:val="0"/>
        <w:spacing w:before="5"/>
        <w:rPr>
          <w:rFonts w:ascii="Calibri" w:eastAsia="Calibri" w:hAnsi="Calibri" w:cs="Calibri"/>
        </w:rPr>
      </w:pPr>
    </w:p>
    <w:p w14:paraId="46DCCAAD" w14:textId="77777777" w:rsidR="00DB73B9" w:rsidRPr="00DB73B9" w:rsidRDefault="00DB73B9" w:rsidP="00DB73B9">
      <w:pPr>
        <w:widowControl w:val="0"/>
        <w:autoSpaceDE w:val="0"/>
        <w:autoSpaceDN w:val="0"/>
        <w:spacing w:before="5"/>
        <w:rPr>
          <w:rFonts w:ascii="Calibri" w:eastAsia="Calibri" w:hAnsi="Calibri" w:cs="Calibri"/>
          <w:b/>
          <w:bCs/>
          <w:u w:val="single"/>
        </w:rPr>
      </w:pPr>
      <w:r w:rsidRPr="00DB73B9">
        <w:rPr>
          <w:rFonts w:ascii="Calibri" w:eastAsia="Calibri" w:hAnsi="Calibri" w:cs="Calibri"/>
          <w:b/>
          <w:bCs/>
          <w:u w:val="single"/>
        </w:rPr>
        <w:t>Teaching and Teaching-Related Activities</w:t>
      </w:r>
    </w:p>
    <w:p w14:paraId="46DCCAAE" w14:textId="77777777" w:rsidR="00DB73B9" w:rsidRPr="00DB73B9" w:rsidRDefault="00DB73B9" w:rsidP="00E1214A">
      <w:pPr>
        <w:widowControl w:val="0"/>
        <w:autoSpaceDE w:val="0"/>
        <w:autoSpaceDN w:val="0"/>
        <w:rPr>
          <w:rFonts w:ascii="Calibri" w:eastAsia="Calibri" w:hAnsi="Calibri" w:cs="Calibri"/>
        </w:rPr>
      </w:pPr>
      <w:r w:rsidRPr="00DB73B9">
        <w:rPr>
          <w:rFonts w:ascii="Calibri" w:eastAsia="Calibri" w:hAnsi="Calibri" w:cs="Calibri"/>
        </w:rPr>
        <w:t>The primary duty of most faculty at ULM is the teaching and instruction of students.  Because of the demands of the different disciplines, this activity can occur through a variety of methods: traditional face-to-face classes, asynchronous online classes, internships, seminars, practicums, labs, studios, and thesis/dissertation oversight, to name a few.  This variety of instructional means that it is impossible for a single policy to be created for determining the teaching portion of each faculty member’s workload and have it work to the benefit of all disciplines across campus.  Therefore, it is incumbent upon each school and college to develop a teaching load policy appropriate to their course delivery methods and accreditation needs.  This policy must be approved by the school director, the dean of the college, and the Provost.</w:t>
      </w:r>
    </w:p>
    <w:p w14:paraId="46DCCAAF" w14:textId="77777777" w:rsidR="00DB73B9" w:rsidRPr="00DB73B9" w:rsidRDefault="00DB73B9" w:rsidP="00E1214A">
      <w:pPr>
        <w:widowControl w:val="0"/>
        <w:autoSpaceDE w:val="0"/>
        <w:autoSpaceDN w:val="0"/>
        <w:spacing w:before="5"/>
        <w:rPr>
          <w:rFonts w:ascii="Calibri" w:eastAsia="Calibri" w:hAnsi="Calibri" w:cs="Calibri"/>
        </w:rPr>
      </w:pPr>
    </w:p>
    <w:p w14:paraId="46DCCAB0" w14:textId="77777777" w:rsidR="00DB73B9" w:rsidRPr="00DB73B9" w:rsidRDefault="00DB73B9" w:rsidP="00E41D40">
      <w:pPr>
        <w:widowControl w:val="0"/>
        <w:autoSpaceDE w:val="0"/>
        <w:autoSpaceDN w:val="0"/>
        <w:rPr>
          <w:rFonts w:ascii="Calibri" w:eastAsia="Calibri" w:hAnsi="Calibri" w:cs="Calibri"/>
        </w:rPr>
      </w:pPr>
      <w:r w:rsidRPr="00DB73B9">
        <w:rPr>
          <w:rFonts w:ascii="Calibri" w:eastAsia="Calibri" w:hAnsi="Calibri" w:cs="Calibri"/>
        </w:rPr>
        <w:t xml:space="preserve">For those schools and colleges without a teaching load policy, the default will be 12 hours of student credit hours, or its equivalent, each semester (24 per year) for tenured/tenure-track faculty and 15 student credit hours, or its equivalent, each semester (30 per year) for Instructors. </w:t>
      </w:r>
    </w:p>
    <w:p w14:paraId="46DCCAB1" w14:textId="77777777" w:rsidR="00DB73B9" w:rsidRPr="00DB73B9" w:rsidRDefault="00DB73B9" w:rsidP="00E41D40">
      <w:pPr>
        <w:widowControl w:val="0"/>
        <w:autoSpaceDE w:val="0"/>
        <w:autoSpaceDN w:val="0"/>
        <w:rPr>
          <w:rFonts w:ascii="Calibri" w:eastAsia="Calibri" w:hAnsi="Calibri" w:cs="Calibri"/>
        </w:rPr>
      </w:pPr>
    </w:p>
    <w:p w14:paraId="46DCCAB2" w14:textId="77777777" w:rsidR="00DB73B9" w:rsidRPr="00DB73B9" w:rsidRDefault="00DB73B9" w:rsidP="00E1214A">
      <w:pPr>
        <w:widowControl w:val="0"/>
        <w:autoSpaceDE w:val="0"/>
        <w:autoSpaceDN w:val="0"/>
        <w:rPr>
          <w:rFonts w:ascii="Calibri" w:eastAsia="Calibri" w:hAnsi="Calibri" w:cs="Calibri"/>
          <w:b/>
          <w:u w:val="single"/>
        </w:rPr>
      </w:pPr>
      <w:r w:rsidRPr="00DB73B9">
        <w:rPr>
          <w:rFonts w:ascii="Calibri" w:eastAsia="Calibri" w:hAnsi="Calibri" w:cs="Calibri"/>
          <w:b/>
          <w:u w:val="single"/>
        </w:rPr>
        <w:t>Scholarly Activities</w:t>
      </w:r>
    </w:p>
    <w:p w14:paraId="46DCCAB3" w14:textId="77777777" w:rsidR="00E41D40" w:rsidRDefault="00DB73B9" w:rsidP="00E1214A">
      <w:pPr>
        <w:widowControl w:val="0"/>
        <w:autoSpaceDE w:val="0"/>
        <w:autoSpaceDN w:val="0"/>
        <w:rPr>
          <w:rFonts w:ascii="Calibri" w:eastAsia="Calibri" w:hAnsi="Calibri" w:cs="Calibri"/>
        </w:rPr>
      </w:pPr>
      <w:r w:rsidRPr="00DB73B9">
        <w:rPr>
          <w:rFonts w:ascii="Calibri" w:eastAsia="Calibri" w:hAnsi="Calibri" w:cs="Calibri"/>
        </w:rPr>
        <w:t xml:space="preserve">This area is broadly defined as a wide array of activities that contribute to the advancement of knowledge, understanding, application, problem solving, aesthetics, and pedagogy in the communities served by the University.  Much like with teaching and teaching-related activities, the demands and expectations of the different disciplines represented at ULM makes it impossible to define a single set of expectations for workloads in this area.  </w:t>
      </w:r>
    </w:p>
    <w:p w14:paraId="46DCCAB5" w14:textId="77777777" w:rsidR="00DB73B9" w:rsidRPr="00DB73B9" w:rsidRDefault="00DB73B9" w:rsidP="00E1214A">
      <w:pPr>
        <w:widowControl w:val="0"/>
        <w:autoSpaceDE w:val="0"/>
        <w:autoSpaceDN w:val="0"/>
        <w:rPr>
          <w:rFonts w:ascii="Calibri" w:eastAsia="Calibri" w:hAnsi="Calibri" w:cs="Calibri"/>
        </w:rPr>
      </w:pPr>
      <w:r w:rsidRPr="00DB73B9">
        <w:rPr>
          <w:rFonts w:ascii="Calibri" w:eastAsia="Calibri" w:hAnsi="Calibri" w:cs="Calibri"/>
        </w:rPr>
        <w:lastRenderedPageBreak/>
        <w:t xml:space="preserve">While all faculty are expected to work in a scholarly fashion, what is defined as an acceptable artifact of scholarship (ex. traditional journal publications, conference presentations, artistic creations and performances, etc.) for the different ranks will be defined in each school’s workload policy and tenure and promotion criteria.  At a minimum, all faculty are expected to dedicate 5% of their time (equating to 2 hours per week) towards intellectual and scholarly activities. </w:t>
      </w:r>
    </w:p>
    <w:p w14:paraId="46DCCAB6" w14:textId="77777777" w:rsidR="00DB73B9" w:rsidRPr="00DB73B9" w:rsidRDefault="00DB73B9" w:rsidP="00DB73B9">
      <w:pPr>
        <w:widowControl w:val="0"/>
        <w:autoSpaceDE w:val="0"/>
        <w:autoSpaceDN w:val="0"/>
        <w:spacing w:before="5"/>
        <w:ind w:left="630"/>
        <w:rPr>
          <w:rFonts w:ascii="Calibri" w:eastAsia="Calibri" w:hAnsi="Calibri" w:cs="Calibri"/>
        </w:rPr>
      </w:pPr>
    </w:p>
    <w:p w14:paraId="46DCCAB7" w14:textId="77777777" w:rsidR="00DB73B9" w:rsidRPr="00DB73B9" w:rsidRDefault="00DB73B9" w:rsidP="00DB73B9">
      <w:pPr>
        <w:widowControl w:val="0"/>
        <w:autoSpaceDE w:val="0"/>
        <w:autoSpaceDN w:val="0"/>
        <w:spacing w:before="5"/>
        <w:rPr>
          <w:rFonts w:ascii="Calibri" w:eastAsia="Calibri" w:hAnsi="Calibri" w:cs="Calibri"/>
          <w:b/>
          <w:u w:val="single"/>
        </w:rPr>
      </w:pPr>
      <w:r w:rsidRPr="00DB73B9">
        <w:rPr>
          <w:rFonts w:ascii="Calibri" w:eastAsia="Calibri" w:hAnsi="Calibri" w:cs="Calibri"/>
          <w:b/>
          <w:u w:val="single"/>
        </w:rPr>
        <w:t>Service</w:t>
      </w:r>
    </w:p>
    <w:p w14:paraId="46DCCAB8" w14:textId="77777777" w:rsidR="00DB73B9" w:rsidRPr="00DB73B9" w:rsidRDefault="00DB73B9" w:rsidP="00DB73B9">
      <w:pPr>
        <w:widowControl w:val="0"/>
        <w:autoSpaceDE w:val="0"/>
        <w:autoSpaceDN w:val="0"/>
        <w:spacing w:before="5"/>
        <w:rPr>
          <w:rFonts w:ascii="Calibri" w:eastAsia="Calibri" w:hAnsi="Calibri" w:cs="Calibri"/>
        </w:rPr>
      </w:pPr>
      <w:r w:rsidRPr="00DB73B9">
        <w:rPr>
          <w:rFonts w:ascii="Calibri" w:eastAsia="Calibri" w:hAnsi="Calibri" w:cs="Calibri"/>
        </w:rPr>
        <w:t>Faculty provide a variety of valuable and impactful service activities both within and outside of the University. To support faculty governance, student organizations, policy development, and many other external forms of service, all faculty members are expected to perform some level of service. Included in this category is professional, university, and community service as it relates to one's position at ULM. At a minimum, each faculty member should dedicate 5% of their time (equating to 2 hours per week) towards service activities.</w:t>
      </w:r>
    </w:p>
    <w:p w14:paraId="46DCCAB9" w14:textId="77777777" w:rsidR="00DB73B9" w:rsidRPr="00DB73B9" w:rsidRDefault="00DB73B9" w:rsidP="00DB73B9">
      <w:pPr>
        <w:widowControl w:val="0"/>
        <w:autoSpaceDE w:val="0"/>
        <w:autoSpaceDN w:val="0"/>
        <w:spacing w:before="5"/>
        <w:rPr>
          <w:rFonts w:ascii="Calibri" w:eastAsia="Calibri" w:hAnsi="Calibri" w:cs="Calibri"/>
        </w:rPr>
      </w:pPr>
    </w:p>
    <w:p w14:paraId="46DCCABA" w14:textId="77777777" w:rsidR="00DB73B9" w:rsidRPr="00DB73B9" w:rsidRDefault="00DB73B9" w:rsidP="00DB73B9">
      <w:pPr>
        <w:widowControl w:val="0"/>
        <w:autoSpaceDE w:val="0"/>
        <w:autoSpaceDN w:val="0"/>
        <w:spacing w:before="5"/>
        <w:rPr>
          <w:rFonts w:ascii="Calibri" w:eastAsia="Calibri" w:hAnsi="Calibri" w:cs="Calibri"/>
          <w:b/>
          <w:u w:val="single"/>
        </w:rPr>
      </w:pPr>
      <w:r w:rsidRPr="00DB73B9">
        <w:rPr>
          <w:rFonts w:ascii="Calibri" w:eastAsia="Calibri" w:hAnsi="Calibri" w:cs="Calibri"/>
          <w:b/>
          <w:u w:val="single"/>
        </w:rPr>
        <w:t>Assignment of Workload Expectations</w:t>
      </w:r>
    </w:p>
    <w:p w14:paraId="46DCCABB" w14:textId="77777777" w:rsidR="00DB73B9" w:rsidRPr="00DB73B9" w:rsidRDefault="00DB73B9" w:rsidP="00DB73B9">
      <w:pPr>
        <w:widowControl w:val="0"/>
        <w:autoSpaceDE w:val="0"/>
        <w:autoSpaceDN w:val="0"/>
        <w:spacing w:before="5"/>
        <w:rPr>
          <w:rFonts w:ascii="Calibri" w:eastAsia="Calibri" w:hAnsi="Calibri" w:cs="Calibri"/>
        </w:rPr>
      </w:pPr>
      <w:r w:rsidRPr="00DB73B9">
        <w:rPr>
          <w:rFonts w:ascii="Calibri" w:eastAsia="Calibri" w:hAnsi="Calibri" w:cs="Calibri"/>
        </w:rPr>
        <w:t>While the workload policy for each school and college will likely be different, it is acknowledged that the distribution of effort among these three areas of activities will vary among faculty of the same unit, as each faculty member plays a different role in the operation of the unit.  However, the distribution of effort should always balance the scholarly and intellectual activities and service interests of individual faculty members with their responsibility to deliver academic programs of high quality and meet the needs of the University. This variation in the distribution of faculty effort is desirable because it allows optimization of faculty contributions to professional and institutional goals.</w:t>
      </w:r>
    </w:p>
    <w:p w14:paraId="46DCCABC" w14:textId="77777777" w:rsidR="00DB73B9" w:rsidRPr="00DB73B9" w:rsidRDefault="00DB73B9" w:rsidP="00EA1B9D">
      <w:pPr>
        <w:widowControl w:val="0"/>
        <w:autoSpaceDE w:val="0"/>
        <w:autoSpaceDN w:val="0"/>
        <w:spacing w:before="5"/>
        <w:rPr>
          <w:rFonts w:ascii="Calibri" w:eastAsia="Calibri" w:hAnsi="Calibri" w:cs="Calibri"/>
        </w:rPr>
      </w:pPr>
    </w:p>
    <w:p w14:paraId="46DCCABD" w14:textId="77777777" w:rsidR="00DB73B9" w:rsidRPr="00DB73B9" w:rsidRDefault="00DB73B9" w:rsidP="00DB73B9">
      <w:pPr>
        <w:widowControl w:val="0"/>
        <w:autoSpaceDE w:val="0"/>
        <w:autoSpaceDN w:val="0"/>
        <w:spacing w:before="5"/>
        <w:rPr>
          <w:rFonts w:ascii="Calibri" w:eastAsia="Calibri" w:hAnsi="Calibri" w:cs="Calibri"/>
        </w:rPr>
      </w:pPr>
      <w:r w:rsidRPr="00DB73B9">
        <w:rPr>
          <w:rFonts w:ascii="Calibri" w:eastAsia="Calibri" w:hAnsi="Calibri" w:cs="Calibri"/>
        </w:rPr>
        <w:t>As previously stated, the workload policy will be implemented at the level of each unit by elaboration of a written policy description appropriate to that unit with the approval of the Unit Head, the Dean of the College, and the Provost. Unit-level policies must be uniformly applied to all faculty. Each faculty member's fulfillment of the workload requirements should be linked to the annual faculty evaluation, and used in the processes of pre-tenure review, consideration for promotion and tenure, and post-tenure review. On an annual basis, in conjunction with the faculty evaluation process, a written workload plan for the ensuing year should be produced jointly by the faculty member and the Unit Head. Unit-level policies should also account for ways to deal with workload modifications that arise in the course of an academic year. The Unit Head is responsible for gathering input from the faculty on the most appropriate level of workload for a particular activity.</w:t>
      </w:r>
    </w:p>
    <w:p w14:paraId="46DCCABE" w14:textId="77777777" w:rsidR="00DB73B9" w:rsidRPr="00DB73B9" w:rsidRDefault="00DB73B9" w:rsidP="00C9359B">
      <w:pPr>
        <w:widowControl w:val="0"/>
        <w:autoSpaceDE w:val="0"/>
        <w:autoSpaceDN w:val="0"/>
        <w:rPr>
          <w:rFonts w:ascii="Calibri" w:eastAsia="Calibri" w:hAnsi="Calibri" w:cs="Calibri"/>
        </w:rPr>
      </w:pPr>
    </w:p>
    <w:p w14:paraId="46DCCABF" w14:textId="77777777" w:rsidR="00DB73B9" w:rsidRDefault="00DB73B9" w:rsidP="00C9359B">
      <w:pPr>
        <w:widowControl w:val="0"/>
        <w:autoSpaceDE w:val="0"/>
        <w:autoSpaceDN w:val="0"/>
        <w:ind w:right="562"/>
        <w:rPr>
          <w:rFonts w:ascii="Calibri" w:eastAsia="Calibri" w:hAnsi="Calibri" w:cs="Calibri"/>
        </w:rPr>
      </w:pPr>
      <w:r w:rsidRPr="00DB73B9">
        <w:rPr>
          <w:rFonts w:ascii="Calibri" w:eastAsia="Calibri" w:hAnsi="Calibri" w:cs="Calibri"/>
        </w:rPr>
        <w:t xml:space="preserve">Workload expectation adjustments for an individual faculty member must be documented and a written justification submitted by the Unit Head to the Dean of the College for review, approval, and inclusion in the workload document. </w:t>
      </w:r>
    </w:p>
    <w:p w14:paraId="46DCCAC0" w14:textId="77777777" w:rsidR="00EA1B9D" w:rsidRPr="00DB73B9" w:rsidRDefault="00EA1B9D" w:rsidP="00DB73B9">
      <w:pPr>
        <w:widowControl w:val="0"/>
        <w:autoSpaceDE w:val="0"/>
        <w:autoSpaceDN w:val="0"/>
        <w:ind w:right="562"/>
        <w:rPr>
          <w:rFonts w:ascii="Calibri" w:eastAsia="Calibri" w:hAnsi="Calibri" w:cs="Calibri"/>
        </w:rPr>
      </w:pPr>
    </w:p>
    <w:p w14:paraId="46DCCAC1" w14:textId="77777777" w:rsidR="009C60B1" w:rsidRPr="000D1A7A" w:rsidRDefault="009C60B1" w:rsidP="00DB4992">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sidRPr="000D1A7A">
        <w:rPr>
          <w:rFonts w:asciiTheme="minorHAnsi" w:hAnsiTheme="minorHAnsi"/>
        </w:rPr>
        <w:tab/>
        <w:t>Enforcement</w:t>
      </w:r>
    </w:p>
    <w:p w14:paraId="46DCCAC2" w14:textId="77777777" w:rsidR="009C60B1" w:rsidRPr="000D1A7A" w:rsidRDefault="00D46F19" w:rsidP="00EA1B9D">
      <w:pPr>
        <w:spacing w:before="120" w:after="240"/>
        <w:rPr>
          <w:rFonts w:asciiTheme="minorHAnsi" w:hAnsiTheme="minorHAnsi"/>
        </w:rPr>
      </w:pPr>
      <w:r>
        <w:rPr>
          <w:rFonts w:asciiTheme="minorHAnsi" w:hAnsiTheme="minorHAnsi"/>
        </w:rPr>
        <w:t>The Provost is responsible for the enforcement of this policy.</w:t>
      </w:r>
    </w:p>
    <w:p w14:paraId="46DCCAC3" w14:textId="77777777" w:rsidR="009C60B1" w:rsidRPr="000D1A7A" w:rsidRDefault="009C60B1" w:rsidP="00DB4992">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sidRPr="000D1A7A">
        <w:rPr>
          <w:rFonts w:asciiTheme="minorHAnsi" w:hAnsiTheme="minorHAnsi"/>
        </w:rPr>
        <w:tab/>
        <w:t>Policy Management</w:t>
      </w:r>
    </w:p>
    <w:p w14:paraId="46DCCAC4" w14:textId="77777777" w:rsidR="005949FB" w:rsidRPr="000D1A7A" w:rsidRDefault="00DB73B9" w:rsidP="00EA1B9D">
      <w:pPr>
        <w:spacing w:before="120" w:after="240"/>
        <w:rPr>
          <w:rFonts w:asciiTheme="minorHAnsi" w:hAnsiTheme="minorHAnsi"/>
        </w:rPr>
      </w:pPr>
      <w:r w:rsidRPr="00DB73B9">
        <w:rPr>
          <w:rFonts w:asciiTheme="minorHAnsi" w:hAnsiTheme="minorHAnsi"/>
        </w:rPr>
        <w:t>The Provost is the Responsible Executive for the management of this policy. The Provost or his/her designee will be the Responsible Officer in charge of maintaining and disseminating it.</w:t>
      </w:r>
    </w:p>
    <w:p w14:paraId="46DCCAC5" w14:textId="77777777" w:rsidR="009C60B1" w:rsidRPr="000D1A7A" w:rsidRDefault="009C60B1" w:rsidP="00DB4992">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sidRPr="000D1A7A">
        <w:rPr>
          <w:rFonts w:asciiTheme="minorHAnsi" w:hAnsiTheme="minorHAnsi"/>
        </w:rPr>
        <w:lastRenderedPageBreak/>
        <w:tab/>
        <w:t>Exclusions</w:t>
      </w:r>
    </w:p>
    <w:p w14:paraId="46DCCAC6" w14:textId="77777777" w:rsidR="005949FB" w:rsidRPr="000D1A7A" w:rsidRDefault="00DB73B9" w:rsidP="00EA1B9D">
      <w:pPr>
        <w:spacing w:before="120" w:after="240"/>
        <w:rPr>
          <w:rFonts w:asciiTheme="minorHAnsi" w:hAnsiTheme="minorHAnsi"/>
        </w:rPr>
      </w:pPr>
      <w:r w:rsidRPr="00DB73B9">
        <w:rPr>
          <w:rFonts w:asciiTheme="minorHAnsi" w:hAnsiTheme="minorHAnsi"/>
        </w:rPr>
        <w:t>Exclusions to this policy must be approved by the appropriate dean and the Provost</w:t>
      </w:r>
    </w:p>
    <w:p w14:paraId="46DCCAC7" w14:textId="77777777" w:rsidR="009C60B1" w:rsidRPr="000D1A7A" w:rsidRDefault="009C60B1" w:rsidP="00DB4992">
      <w:pPr>
        <w:pStyle w:val="Heading3"/>
        <w:numPr>
          <w:ilvl w:val="0"/>
          <w:numId w:val="4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sidRPr="000D1A7A">
        <w:rPr>
          <w:rFonts w:asciiTheme="minorHAnsi" w:hAnsiTheme="minorHAnsi"/>
        </w:rPr>
        <w:tab/>
        <w:t>Effective Date</w:t>
      </w:r>
    </w:p>
    <w:p w14:paraId="46DCCAC8" w14:textId="77777777" w:rsidR="005949FB" w:rsidRPr="000D1A7A" w:rsidRDefault="00DB73B9" w:rsidP="00EA1B9D">
      <w:pPr>
        <w:spacing w:before="120" w:after="240"/>
        <w:rPr>
          <w:rFonts w:asciiTheme="minorHAnsi" w:hAnsiTheme="minorHAnsi"/>
        </w:rPr>
      </w:pPr>
      <w:r w:rsidRPr="00DB73B9">
        <w:rPr>
          <w:rFonts w:asciiTheme="minorHAnsi" w:hAnsiTheme="minorHAnsi"/>
        </w:rPr>
        <w:t>Th</w:t>
      </w:r>
      <w:r w:rsidR="00C9359B">
        <w:rPr>
          <w:rFonts w:asciiTheme="minorHAnsi" w:hAnsiTheme="minorHAnsi"/>
        </w:rPr>
        <w:t>is Policy will become effective on the date signed by the University President.</w:t>
      </w:r>
    </w:p>
    <w:p w14:paraId="46DCCAC9" w14:textId="77777777" w:rsidR="009C60B1" w:rsidRPr="000D1A7A" w:rsidRDefault="009C60B1" w:rsidP="00DB4992">
      <w:pPr>
        <w:pStyle w:val="Heading3"/>
        <w:numPr>
          <w:ilvl w:val="0"/>
          <w:numId w:val="4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sidRPr="000D1A7A">
        <w:rPr>
          <w:rFonts w:asciiTheme="minorHAnsi" w:hAnsiTheme="minorHAnsi"/>
        </w:rPr>
        <w:tab/>
        <w:t xml:space="preserve">Adoption </w:t>
      </w:r>
    </w:p>
    <w:p w14:paraId="46DCCACA" w14:textId="77777777" w:rsidR="009C60B1" w:rsidRPr="000D1A7A" w:rsidRDefault="005949FB" w:rsidP="00EA1B9D">
      <w:pPr>
        <w:tabs>
          <w:tab w:val="left" w:pos="720"/>
        </w:tabs>
        <w:spacing w:before="120" w:after="240"/>
        <w:rPr>
          <w:rFonts w:asciiTheme="minorHAnsi" w:hAnsiTheme="minorHAnsi"/>
        </w:rPr>
      </w:pPr>
      <w:r w:rsidRPr="000D1A7A">
        <w:rPr>
          <w:rFonts w:asciiTheme="minorHAnsi" w:hAnsiTheme="minorHAnsi"/>
        </w:rPr>
        <w:t>This policy</w:t>
      </w:r>
      <w:r w:rsidR="00985AD8">
        <w:rPr>
          <w:rFonts w:asciiTheme="minorHAnsi" w:hAnsiTheme="minorHAnsi"/>
        </w:rPr>
        <w:t xml:space="preserve"> is hereby adopted on this 23</w:t>
      </w:r>
      <w:r w:rsidR="00985AD8" w:rsidRPr="00985AD8">
        <w:rPr>
          <w:rFonts w:asciiTheme="minorHAnsi" w:hAnsiTheme="minorHAnsi"/>
          <w:vertAlign w:val="superscript"/>
        </w:rPr>
        <w:t>rd</w:t>
      </w:r>
      <w:r w:rsidR="00985AD8">
        <w:rPr>
          <w:rFonts w:asciiTheme="minorHAnsi" w:hAnsiTheme="minorHAnsi"/>
        </w:rPr>
        <w:t xml:space="preserve"> day of February 2023.</w:t>
      </w:r>
    </w:p>
    <w:p w14:paraId="46DCCACB" w14:textId="77777777"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46DCCACC" w14:textId="77777777" w:rsidR="000E6DF3" w:rsidRPr="0065093B" w:rsidRDefault="00347D58" w:rsidP="000D1A7A">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62336" behindDoc="0" locked="0" layoutInCell="1" allowOverlap="1" wp14:anchorId="46DCCAD6" wp14:editId="6E5EDB81">
            <wp:simplePos x="0" y="0"/>
            <wp:positionH relativeFrom="column">
              <wp:posOffset>3781425</wp:posOffset>
            </wp:positionH>
            <wp:positionV relativeFrom="paragraph">
              <wp:posOffset>33020</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D05">
        <w:rPr>
          <w:rFonts w:asciiTheme="minorHAnsi" w:hAnsiTheme="minorHAnsi"/>
          <w:noProof/>
        </w:rPr>
        <w:drawing>
          <wp:anchor distT="0" distB="0" distL="114300" distR="114300" simplePos="0" relativeHeight="251660288" behindDoc="0" locked="0" layoutInCell="1" allowOverlap="1" wp14:anchorId="46DCCAD8" wp14:editId="71AC867C">
            <wp:simplePos x="0" y="0"/>
            <wp:positionH relativeFrom="column">
              <wp:posOffset>171450</wp:posOffset>
            </wp:positionH>
            <wp:positionV relativeFrom="paragraph">
              <wp:posOffset>33020</wp:posOffset>
            </wp:positionV>
            <wp:extent cx="2009775" cy="637934"/>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9775" cy="6379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DCCACD" w14:textId="77777777" w:rsidR="009D20CF" w:rsidRPr="0065093B" w:rsidRDefault="000D1A7A" w:rsidP="009D20CF">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46DCCACE" w14:textId="77777777" w:rsidR="00550156" w:rsidRPr="009D20CF" w:rsidRDefault="00DB73B9" w:rsidP="009D20CF">
      <w:pPr>
        <w:tabs>
          <w:tab w:val="left" w:pos="720"/>
        </w:tabs>
        <w:spacing w:after="240"/>
        <w:rPr>
          <w:rFonts w:asciiTheme="minorHAnsi" w:hAnsiTheme="minorHAnsi"/>
        </w:rPr>
      </w:pPr>
      <w:r w:rsidRPr="00DB73B9">
        <w:rPr>
          <w:rFonts w:asciiTheme="minorHAnsi" w:hAnsiTheme="minorHAnsi"/>
        </w:rPr>
        <w:t xml:space="preserve">Dr. Mark </w:t>
      </w:r>
      <w:proofErr w:type="spellStart"/>
      <w:r w:rsidRPr="00DB73B9">
        <w:rPr>
          <w:rFonts w:asciiTheme="minorHAnsi" w:hAnsiTheme="minorHAnsi"/>
        </w:rPr>
        <w:t>Arant</w:t>
      </w:r>
      <w:proofErr w:type="spellEnd"/>
      <w:r w:rsidRPr="00DB73B9">
        <w:rPr>
          <w:rFonts w:asciiTheme="minorHAnsi" w:hAnsiTheme="minorHAnsi"/>
        </w:rPr>
        <w:t xml:space="preserve">, Provost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w:t>
      </w:r>
      <w:r w:rsidR="00A53739" w:rsidRPr="00DB73B9">
        <w:rPr>
          <w:rFonts w:asciiTheme="minorHAnsi" w:hAnsiTheme="minorHAnsi"/>
        </w:rPr>
        <w:t>r. Ronald L. Berry,</w:t>
      </w:r>
      <w:r w:rsidR="00740EAA" w:rsidRPr="00DB73B9">
        <w:rPr>
          <w:rFonts w:asciiTheme="minorHAnsi" w:hAnsiTheme="minorHAnsi"/>
        </w:rPr>
        <w:t xml:space="preserve"> </w:t>
      </w:r>
      <w:r w:rsidR="009D20CF" w:rsidRPr="00DB73B9">
        <w:rPr>
          <w:rFonts w:asciiTheme="minorHAnsi" w:hAnsiTheme="minorHAnsi"/>
        </w:rPr>
        <w:t>President</w:t>
      </w:r>
    </w:p>
    <w:p w14:paraId="46DCCACF" w14:textId="77777777" w:rsidR="00B34DF6" w:rsidRPr="000D1A7A" w:rsidRDefault="00B34DF6" w:rsidP="00DB4992">
      <w:pPr>
        <w:pStyle w:val="Heading3"/>
        <w:numPr>
          <w:ilvl w:val="0"/>
          <w:numId w:val="4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46DCCAD0" w14:textId="77777777" w:rsidR="00DC6236" w:rsidRPr="000D1A7A" w:rsidRDefault="00DB73B9" w:rsidP="00EA1B9D">
      <w:pPr>
        <w:spacing w:before="120" w:after="240"/>
        <w:rPr>
          <w:rFonts w:asciiTheme="minorHAnsi" w:hAnsiTheme="minorHAnsi"/>
        </w:rPr>
      </w:pPr>
      <w:r>
        <w:rPr>
          <w:rFonts w:asciiTheme="minorHAnsi" w:hAnsiTheme="minorHAnsi"/>
        </w:rPr>
        <w:t>N/A</w:t>
      </w:r>
    </w:p>
    <w:p w14:paraId="46DCCAD1" w14:textId="77777777" w:rsidR="00DC6236" w:rsidRPr="000D1A7A" w:rsidRDefault="00DC6236" w:rsidP="00DB4992">
      <w:pPr>
        <w:pStyle w:val="Heading3"/>
        <w:numPr>
          <w:ilvl w:val="0"/>
          <w:numId w:val="45"/>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sidRPr="000D1A7A">
        <w:rPr>
          <w:rFonts w:asciiTheme="minorHAnsi" w:hAnsiTheme="minorHAnsi"/>
        </w:rPr>
        <w:tab/>
        <w:t>Revision History</w:t>
      </w:r>
      <w:r w:rsidR="00892246" w:rsidRPr="000D1A7A">
        <w:rPr>
          <w:rFonts w:asciiTheme="minorHAnsi" w:hAnsiTheme="minorHAnsi"/>
        </w:rPr>
        <w:tab/>
      </w:r>
    </w:p>
    <w:p w14:paraId="46DCCAD2" w14:textId="77777777" w:rsidR="00EA1B9D" w:rsidRDefault="00DB73B9" w:rsidP="00C9359B">
      <w:pPr>
        <w:spacing w:before="120"/>
        <w:rPr>
          <w:rFonts w:asciiTheme="minorHAnsi" w:hAnsiTheme="minorHAnsi"/>
        </w:rPr>
      </w:pPr>
      <w:r w:rsidRPr="00DB73B9">
        <w:rPr>
          <w:rFonts w:asciiTheme="minorHAnsi" w:hAnsiTheme="minorHAnsi"/>
        </w:rPr>
        <w:t>Initial approval date of the policy: May 3, 2017</w:t>
      </w:r>
    </w:p>
    <w:p w14:paraId="46DCCAD3" w14:textId="77777777" w:rsidR="00DC6236" w:rsidRPr="00EA1B9D" w:rsidRDefault="00985AD8" w:rsidP="00EA1B9D">
      <w:pPr>
        <w:spacing w:before="120"/>
        <w:rPr>
          <w:rFonts w:asciiTheme="minorHAnsi" w:hAnsiTheme="minorHAnsi"/>
        </w:rPr>
      </w:pPr>
      <w:r>
        <w:rPr>
          <w:rFonts w:asciiTheme="minorHAnsi" w:hAnsiTheme="minorHAnsi"/>
        </w:rPr>
        <w:t>Revised:  February 23</w:t>
      </w:r>
      <w:r w:rsidR="00C9359B">
        <w:rPr>
          <w:rFonts w:asciiTheme="minorHAnsi" w:hAnsiTheme="minorHAnsi"/>
        </w:rPr>
        <w:t>, 2023 revision</w:t>
      </w:r>
      <w:r w:rsidR="00DB73B9" w:rsidRPr="00DB73B9">
        <w:rPr>
          <w:rFonts w:asciiTheme="minorHAnsi" w:hAnsiTheme="minorHAnsi"/>
        </w:rPr>
        <w:t xml:space="preserve"> completely replaces the previous policy.</w:t>
      </w:r>
    </w:p>
    <w:sectPr w:rsidR="00DC6236" w:rsidRPr="00EA1B9D" w:rsidSect="007A5E15">
      <w:footerReference w:type="default" r:id="rId15"/>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CADC" w14:textId="77777777" w:rsidR="001E2921" w:rsidRDefault="001E2921">
      <w:r>
        <w:separator/>
      </w:r>
    </w:p>
  </w:endnote>
  <w:endnote w:type="continuationSeparator" w:id="0">
    <w:p w14:paraId="46DCCADD" w14:textId="77777777" w:rsidR="001E2921" w:rsidRDefault="001E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46DCCADE" w14:textId="77777777" w:rsidR="002A45EB" w:rsidRPr="00B93AFE" w:rsidRDefault="00DB73B9" w:rsidP="002A45EB">
            <w:pPr>
              <w:pStyle w:val="NoSpacing"/>
              <w:rPr>
                <w:rFonts w:asciiTheme="minorHAnsi" w:hAnsiTheme="minorHAnsi"/>
                <w:bCs/>
              </w:rPr>
            </w:pPr>
            <w:r>
              <w:rPr>
                <w:rFonts w:asciiTheme="minorHAnsi" w:hAnsiTheme="minorHAnsi"/>
              </w:rPr>
              <w:t xml:space="preserve">Faculty Workload Policy </w:t>
            </w:r>
            <w:r w:rsidR="00C9359B">
              <w:rPr>
                <w:rFonts w:asciiTheme="minorHAnsi" w:hAnsiTheme="minorHAnsi"/>
              </w:rPr>
              <w:t xml:space="preserve">                                                                                                                         </w:t>
            </w:r>
            <w:r w:rsidR="002A45EB" w:rsidRPr="00B93AFE">
              <w:rPr>
                <w:rFonts w:asciiTheme="minorHAnsi" w:hAnsiTheme="minorHAnsi"/>
              </w:rPr>
              <w:t xml:space="preserve">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6933DA">
              <w:rPr>
                <w:rFonts w:asciiTheme="minorHAnsi" w:hAnsiTheme="minorHAnsi"/>
                <w:bCs/>
                <w:noProof/>
              </w:rPr>
              <w:t>1</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6933DA">
              <w:rPr>
                <w:rFonts w:asciiTheme="minorHAnsi" w:hAnsiTheme="minorHAnsi"/>
                <w:bCs/>
                <w:noProof/>
              </w:rPr>
              <w:t>4</w:t>
            </w:r>
            <w:r w:rsidR="002A45EB" w:rsidRPr="00B93AFE">
              <w:rPr>
                <w:rFonts w:asciiTheme="minorHAnsi" w:hAnsiTheme="minorHAnsi"/>
                <w:bCs/>
              </w:rPr>
              <w:fldChar w:fldCharType="end"/>
            </w:r>
          </w:p>
          <w:p w14:paraId="46DCCADF" w14:textId="77777777" w:rsidR="002A45EB" w:rsidRPr="00B93AFE" w:rsidRDefault="00985AD8" w:rsidP="002A45EB">
            <w:pPr>
              <w:pStyle w:val="NoSpacing"/>
              <w:rPr>
                <w:rFonts w:asciiTheme="minorHAnsi" w:hAnsiTheme="minorHAnsi"/>
                <w:bCs/>
              </w:rPr>
            </w:pPr>
            <w:r>
              <w:rPr>
                <w:rFonts w:asciiTheme="minorHAnsi" w:hAnsiTheme="minorHAnsi"/>
                <w:bCs/>
              </w:rPr>
              <w:t>AA003.2 – February 23</w:t>
            </w:r>
            <w:r w:rsidR="00DB73B9">
              <w:rPr>
                <w:rFonts w:asciiTheme="minorHAnsi" w:hAnsiTheme="minorHAnsi"/>
                <w:bCs/>
              </w:rPr>
              <w:t>, 2023</w:t>
            </w:r>
          </w:p>
          <w:p w14:paraId="46DCCAE0"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Pr>
                <w:rFonts w:asciiTheme="minorHAnsi" w:hAnsiTheme="minorHAnsi"/>
                <w:bCs/>
                <w:color w:val="A6A6A6" w:themeColor="background1" w:themeShade="A6"/>
                <w:sz w:val="20"/>
                <w:szCs w:val="20"/>
              </w:rPr>
              <w:t xml:space="preserve">Rev. </w:t>
            </w:r>
            <w:r w:rsidR="00A53739">
              <w:rPr>
                <w:rFonts w:asciiTheme="minorHAnsi" w:hAnsiTheme="minorHAnsi"/>
                <w:bCs/>
                <w:color w:val="A6A6A6" w:themeColor="background1" w:themeShade="A6"/>
                <w:sz w:val="20"/>
                <w:szCs w:val="20"/>
              </w:rPr>
              <w:t>1</w:t>
            </w:r>
            <w:r w:rsidR="001109B8">
              <w:rPr>
                <w:rFonts w:asciiTheme="minorHAnsi" w:hAnsiTheme="minorHAnsi"/>
                <w:bCs/>
                <w:color w:val="A6A6A6" w:themeColor="background1" w:themeShade="A6"/>
                <w:sz w:val="20"/>
                <w:szCs w:val="20"/>
              </w:rPr>
              <w:t>/</w:t>
            </w:r>
            <w:r w:rsidR="00A53739">
              <w:rPr>
                <w:rFonts w:asciiTheme="minorHAnsi" w:hAnsiTheme="minorHAnsi"/>
                <w:bCs/>
                <w:color w:val="A6A6A6" w:themeColor="background1" w:themeShade="A6"/>
                <w:sz w:val="20"/>
                <w:szCs w:val="20"/>
              </w:rPr>
              <w:t>04</w:t>
            </w:r>
            <w:r w:rsidRPr="002A45EB">
              <w:rPr>
                <w:rFonts w:asciiTheme="minorHAnsi" w:hAnsiTheme="minorHAnsi"/>
                <w:bCs/>
                <w:color w:val="A6A6A6" w:themeColor="background1" w:themeShade="A6"/>
                <w:sz w:val="20"/>
                <w:szCs w:val="20"/>
              </w:rPr>
              <w:t>/20</w:t>
            </w:r>
            <w:r w:rsidR="00DB4992">
              <w:rPr>
                <w:rFonts w:asciiTheme="minorHAnsi" w:hAnsiTheme="minorHAnsi"/>
                <w:bCs/>
                <w:color w:val="A6A6A6" w:themeColor="background1" w:themeShade="A6"/>
                <w:sz w:val="20"/>
                <w:szCs w:val="20"/>
              </w:rPr>
              <w:t>2</w:t>
            </w:r>
            <w:r w:rsidR="00A53739">
              <w:rPr>
                <w:rFonts w:asciiTheme="minorHAnsi" w:hAnsiTheme="minorHAnsi"/>
                <w:bCs/>
                <w:color w:val="A6A6A6" w:themeColor="background1" w:themeShade="A6"/>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CADA" w14:textId="77777777" w:rsidR="001E2921" w:rsidRDefault="001E2921">
      <w:r>
        <w:separator/>
      </w:r>
    </w:p>
  </w:footnote>
  <w:footnote w:type="continuationSeparator" w:id="0">
    <w:p w14:paraId="46DCCADB" w14:textId="77777777" w:rsidR="001E2921" w:rsidRDefault="001E2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13D39A5"/>
    <w:multiLevelType w:val="multilevel"/>
    <w:tmpl w:val="6420B0A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F6A7B"/>
    <w:multiLevelType w:val="hybridMultilevel"/>
    <w:tmpl w:val="5E6E3F26"/>
    <w:lvl w:ilvl="0" w:tplc="140C69B2">
      <w:start w:val="1"/>
      <w:numFmt w:val="decimal"/>
      <w:lvlText w:val="%1."/>
      <w:lvlJc w:val="left"/>
      <w:pPr>
        <w:ind w:left="720" w:hanging="720"/>
      </w:pPr>
      <w:rPr>
        <w:rFonts w:ascii="Calibri" w:eastAsia="Calibri" w:hAnsi="Calibri" w:cs="Calibri" w:hint="default"/>
        <w:b/>
        <w:bCs/>
        <w:spacing w:val="-1"/>
        <w:w w:val="99"/>
        <w:sz w:val="24"/>
        <w:szCs w:val="24"/>
      </w:rPr>
    </w:lvl>
    <w:lvl w:ilvl="1" w:tplc="3BB4E7CC">
      <w:numFmt w:val="bullet"/>
      <w:lvlText w:val="•"/>
      <w:lvlJc w:val="left"/>
      <w:pPr>
        <w:ind w:left="1706" w:hanging="720"/>
      </w:pPr>
      <w:rPr>
        <w:rFonts w:hint="default"/>
      </w:rPr>
    </w:lvl>
    <w:lvl w:ilvl="2" w:tplc="F9EEC93C">
      <w:numFmt w:val="bullet"/>
      <w:lvlText w:val="•"/>
      <w:lvlJc w:val="left"/>
      <w:pPr>
        <w:ind w:left="2692" w:hanging="720"/>
      </w:pPr>
      <w:rPr>
        <w:rFonts w:hint="default"/>
      </w:rPr>
    </w:lvl>
    <w:lvl w:ilvl="3" w:tplc="A65805BA">
      <w:numFmt w:val="bullet"/>
      <w:lvlText w:val="•"/>
      <w:lvlJc w:val="left"/>
      <w:pPr>
        <w:ind w:left="3678" w:hanging="720"/>
      </w:pPr>
      <w:rPr>
        <w:rFonts w:hint="default"/>
      </w:rPr>
    </w:lvl>
    <w:lvl w:ilvl="4" w:tplc="24A056B8">
      <w:numFmt w:val="bullet"/>
      <w:lvlText w:val="•"/>
      <w:lvlJc w:val="left"/>
      <w:pPr>
        <w:ind w:left="4664" w:hanging="720"/>
      </w:pPr>
      <w:rPr>
        <w:rFonts w:hint="default"/>
      </w:rPr>
    </w:lvl>
    <w:lvl w:ilvl="5" w:tplc="6AFA73B2">
      <w:numFmt w:val="bullet"/>
      <w:lvlText w:val="•"/>
      <w:lvlJc w:val="left"/>
      <w:pPr>
        <w:ind w:left="5650" w:hanging="720"/>
      </w:pPr>
      <w:rPr>
        <w:rFonts w:hint="default"/>
      </w:rPr>
    </w:lvl>
    <w:lvl w:ilvl="6" w:tplc="FA0E9D74">
      <w:numFmt w:val="bullet"/>
      <w:lvlText w:val="•"/>
      <w:lvlJc w:val="left"/>
      <w:pPr>
        <w:ind w:left="6636" w:hanging="720"/>
      </w:pPr>
      <w:rPr>
        <w:rFonts w:hint="default"/>
      </w:rPr>
    </w:lvl>
    <w:lvl w:ilvl="7" w:tplc="F894EC66">
      <w:numFmt w:val="bullet"/>
      <w:lvlText w:val="•"/>
      <w:lvlJc w:val="left"/>
      <w:pPr>
        <w:ind w:left="7622" w:hanging="720"/>
      </w:pPr>
      <w:rPr>
        <w:rFonts w:hint="default"/>
      </w:rPr>
    </w:lvl>
    <w:lvl w:ilvl="8" w:tplc="95A8CE3C">
      <w:numFmt w:val="bullet"/>
      <w:lvlText w:val="•"/>
      <w:lvlJc w:val="left"/>
      <w:pPr>
        <w:ind w:left="8608" w:hanging="720"/>
      </w:pPr>
      <w:rPr>
        <w:rFonts w:hint="default"/>
      </w:rPr>
    </w:lvl>
  </w:abstractNum>
  <w:abstractNum w:abstractNumId="2" w15:restartNumberingAfterBreak="0">
    <w:nsid w:val="06133128"/>
    <w:multiLevelType w:val="hybridMultilevel"/>
    <w:tmpl w:val="05C01ACE"/>
    <w:lvl w:ilvl="0" w:tplc="0409000F">
      <w:start w:val="1"/>
      <w:numFmt w:val="decimal"/>
      <w:lvlText w:val="%1."/>
      <w:lvlJc w:val="left"/>
      <w:pPr>
        <w:ind w:left="1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37E"/>
    <w:multiLevelType w:val="hybridMultilevel"/>
    <w:tmpl w:val="07FC90F6"/>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9E00E20"/>
    <w:multiLevelType w:val="hybridMultilevel"/>
    <w:tmpl w:val="F37ECD38"/>
    <w:lvl w:ilvl="0" w:tplc="CC602C1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A80BD3"/>
    <w:multiLevelType w:val="multilevel"/>
    <w:tmpl w:val="B908E33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017C68"/>
    <w:multiLevelType w:val="multilevel"/>
    <w:tmpl w:val="EDD6CBA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4"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15:restartNumberingAfterBreak="0">
    <w:nsid w:val="3862530E"/>
    <w:multiLevelType w:val="multilevel"/>
    <w:tmpl w:val="2AEE3A0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B01795"/>
    <w:multiLevelType w:val="hybridMultilevel"/>
    <w:tmpl w:val="4476E410"/>
    <w:lvl w:ilvl="0" w:tplc="DBAC02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75560F"/>
    <w:multiLevelType w:val="multilevel"/>
    <w:tmpl w:val="7DA0F19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8804F3"/>
    <w:multiLevelType w:val="multilevel"/>
    <w:tmpl w:val="0706CA2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C30BCD"/>
    <w:multiLevelType w:val="multilevel"/>
    <w:tmpl w:val="EAE270B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694B8D"/>
    <w:multiLevelType w:val="multilevel"/>
    <w:tmpl w:val="2F16C55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13733D"/>
    <w:multiLevelType w:val="multilevel"/>
    <w:tmpl w:val="8A7671A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9649DF"/>
    <w:multiLevelType w:val="multilevel"/>
    <w:tmpl w:val="701ECDB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2D5107"/>
    <w:multiLevelType w:val="multilevel"/>
    <w:tmpl w:val="92F663A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C6DC3"/>
    <w:multiLevelType w:val="multilevel"/>
    <w:tmpl w:val="3ECC8AA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2"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9"/>
  </w:num>
  <w:num w:numId="2">
    <w:abstractNumId w:val="18"/>
  </w:num>
  <w:num w:numId="3">
    <w:abstractNumId w:val="25"/>
  </w:num>
  <w:num w:numId="4">
    <w:abstractNumId w:val="4"/>
  </w:num>
  <w:num w:numId="5">
    <w:abstractNumId w:val="26"/>
  </w:num>
  <w:num w:numId="6">
    <w:abstractNumId w:val="43"/>
  </w:num>
  <w:num w:numId="7">
    <w:abstractNumId w:val="38"/>
  </w:num>
  <w:num w:numId="8">
    <w:abstractNumId w:val="44"/>
  </w:num>
  <w:num w:numId="9">
    <w:abstractNumId w:val="42"/>
  </w:num>
  <w:num w:numId="10">
    <w:abstractNumId w:val="40"/>
  </w:num>
  <w:num w:numId="11">
    <w:abstractNumId w:val="9"/>
  </w:num>
  <w:num w:numId="12">
    <w:abstractNumId w:val="14"/>
  </w:num>
  <w:num w:numId="13">
    <w:abstractNumId w:val="16"/>
  </w:num>
  <w:num w:numId="14">
    <w:abstractNumId w:val="41"/>
  </w:num>
  <w:num w:numId="15">
    <w:abstractNumId w:val="13"/>
  </w:num>
  <w:num w:numId="16">
    <w:abstractNumId w:val="10"/>
  </w:num>
  <w:num w:numId="17">
    <w:abstractNumId w:val="27"/>
  </w:num>
  <w:num w:numId="18">
    <w:abstractNumId w:val="30"/>
  </w:num>
  <w:num w:numId="19">
    <w:abstractNumId w:val="23"/>
  </w:num>
  <w:num w:numId="20">
    <w:abstractNumId w:val="24"/>
  </w:num>
  <w:num w:numId="21">
    <w:abstractNumId w:val="36"/>
  </w:num>
  <w:num w:numId="22">
    <w:abstractNumId w:val="28"/>
  </w:num>
  <w:num w:numId="23">
    <w:abstractNumId w:val="29"/>
  </w:num>
  <w:num w:numId="24">
    <w:abstractNumId w:val="7"/>
  </w:num>
  <w:num w:numId="25">
    <w:abstractNumId w:val="17"/>
  </w:num>
  <w:num w:numId="26">
    <w:abstractNumId w:val="12"/>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
  </w:num>
  <w:num w:numId="30">
    <w:abstractNumId w:val="3"/>
  </w:num>
  <w:num w:numId="31">
    <w:abstractNumId w:val="2"/>
  </w:num>
  <w:num w:numId="32">
    <w:abstractNumId w:val="5"/>
  </w:num>
  <w:num w:numId="33">
    <w:abstractNumId w:val="19"/>
  </w:num>
  <w:num w:numId="34">
    <w:abstractNumId w:val="22"/>
  </w:num>
  <w:num w:numId="35">
    <w:abstractNumId w:val="31"/>
  </w:num>
  <w:num w:numId="36">
    <w:abstractNumId w:val="15"/>
  </w:num>
  <w:num w:numId="37">
    <w:abstractNumId w:val="32"/>
  </w:num>
  <w:num w:numId="38">
    <w:abstractNumId w:val="37"/>
  </w:num>
  <w:num w:numId="39">
    <w:abstractNumId w:val="0"/>
  </w:num>
  <w:num w:numId="40">
    <w:abstractNumId w:val="20"/>
  </w:num>
  <w:num w:numId="41">
    <w:abstractNumId w:val="34"/>
  </w:num>
  <w:num w:numId="42">
    <w:abstractNumId w:val="21"/>
  </w:num>
  <w:num w:numId="43">
    <w:abstractNumId w:val="8"/>
  </w:num>
  <w:num w:numId="44">
    <w:abstractNumId w:val="35"/>
  </w:num>
  <w:num w:numId="4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mv/HydmCyiyAF+H5Dek46thjXC3YBxYhOIutx3xSW60WVfdXjbgGYgyMel8nGg5gxvTIh2CVG3Sv+DyOLr5Wg==" w:salt="pnx0hzixGd8RUfkGhbheXQ=="/>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344EE"/>
    <w:rsid w:val="00040919"/>
    <w:rsid w:val="00044A15"/>
    <w:rsid w:val="0005141E"/>
    <w:rsid w:val="00054B39"/>
    <w:rsid w:val="0005755E"/>
    <w:rsid w:val="00071825"/>
    <w:rsid w:val="000742D7"/>
    <w:rsid w:val="00082507"/>
    <w:rsid w:val="00083CF2"/>
    <w:rsid w:val="00092240"/>
    <w:rsid w:val="000930B2"/>
    <w:rsid w:val="000943A4"/>
    <w:rsid w:val="000A3284"/>
    <w:rsid w:val="000A3D1C"/>
    <w:rsid w:val="000A4CA0"/>
    <w:rsid w:val="000A65C4"/>
    <w:rsid w:val="000C5385"/>
    <w:rsid w:val="000C7BB9"/>
    <w:rsid w:val="000D0AE8"/>
    <w:rsid w:val="000D1961"/>
    <w:rsid w:val="000D1A7A"/>
    <w:rsid w:val="000D5D19"/>
    <w:rsid w:val="000D7D7D"/>
    <w:rsid w:val="000E3C13"/>
    <w:rsid w:val="000E4A6E"/>
    <w:rsid w:val="000E6DF3"/>
    <w:rsid w:val="000F6076"/>
    <w:rsid w:val="000F6B77"/>
    <w:rsid w:val="00100BB6"/>
    <w:rsid w:val="00102C6C"/>
    <w:rsid w:val="0011008F"/>
    <w:rsid w:val="001109B8"/>
    <w:rsid w:val="001125E5"/>
    <w:rsid w:val="0011743B"/>
    <w:rsid w:val="00122160"/>
    <w:rsid w:val="001229C1"/>
    <w:rsid w:val="001229F6"/>
    <w:rsid w:val="0012319A"/>
    <w:rsid w:val="00123A21"/>
    <w:rsid w:val="00125E21"/>
    <w:rsid w:val="00146ACC"/>
    <w:rsid w:val="00146FDF"/>
    <w:rsid w:val="001518A1"/>
    <w:rsid w:val="00151C37"/>
    <w:rsid w:val="00163022"/>
    <w:rsid w:val="00177101"/>
    <w:rsid w:val="00177645"/>
    <w:rsid w:val="00177858"/>
    <w:rsid w:val="0018269B"/>
    <w:rsid w:val="00183BC8"/>
    <w:rsid w:val="00185764"/>
    <w:rsid w:val="00186A15"/>
    <w:rsid w:val="001B16F9"/>
    <w:rsid w:val="001C25FB"/>
    <w:rsid w:val="001D0A03"/>
    <w:rsid w:val="001D24F2"/>
    <w:rsid w:val="001D60B6"/>
    <w:rsid w:val="001E2921"/>
    <w:rsid w:val="001E3743"/>
    <w:rsid w:val="001E3D23"/>
    <w:rsid w:val="001F7025"/>
    <w:rsid w:val="001F768C"/>
    <w:rsid w:val="002005A9"/>
    <w:rsid w:val="0020179A"/>
    <w:rsid w:val="00205E69"/>
    <w:rsid w:val="00207393"/>
    <w:rsid w:val="00207D8A"/>
    <w:rsid w:val="00210D23"/>
    <w:rsid w:val="0023788F"/>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D396B"/>
    <w:rsid w:val="002E365A"/>
    <w:rsid w:val="002E59E6"/>
    <w:rsid w:val="002F0375"/>
    <w:rsid w:val="00301BD1"/>
    <w:rsid w:val="00301DDA"/>
    <w:rsid w:val="003021B6"/>
    <w:rsid w:val="00304E07"/>
    <w:rsid w:val="003151C5"/>
    <w:rsid w:val="0032217F"/>
    <w:rsid w:val="003256F7"/>
    <w:rsid w:val="00325974"/>
    <w:rsid w:val="00331EC2"/>
    <w:rsid w:val="003467E8"/>
    <w:rsid w:val="00347989"/>
    <w:rsid w:val="00347D58"/>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7315A"/>
    <w:rsid w:val="00482BF7"/>
    <w:rsid w:val="00495C20"/>
    <w:rsid w:val="004A24F1"/>
    <w:rsid w:val="004A33CF"/>
    <w:rsid w:val="004B4765"/>
    <w:rsid w:val="004B4D96"/>
    <w:rsid w:val="004C15AB"/>
    <w:rsid w:val="004C1BE5"/>
    <w:rsid w:val="004C7EFB"/>
    <w:rsid w:val="004D0576"/>
    <w:rsid w:val="004D2A86"/>
    <w:rsid w:val="004E14ED"/>
    <w:rsid w:val="004E2569"/>
    <w:rsid w:val="004E3FD8"/>
    <w:rsid w:val="004E5BA4"/>
    <w:rsid w:val="004F42FB"/>
    <w:rsid w:val="004F63EC"/>
    <w:rsid w:val="00500584"/>
    <w:rsid w:val="00502DFD"/>
    <w:rsid w:val="00527A75"/>
    <w:rsid w:val="00532AA9"/>
    <w:rsid w:val="00542B5E"/>
    <w:rsid w:val="00545D1C"/>
    <w:rsid w:val="00546DC0"/>
    <w:rsid w:val="00550156"/>
    <w:rsid w:val="005520C8"/>
    <w:rsid w:val="00560CC3"/>
    <w:rsid w:val="005763C1"/>
    <w:rsid w:val="00591F81"/>
    <w:rsid w:val="005949FB"/>
    <w:rsid w:val="00597A37"/>
    <w:rsid w:val="005A26CD"/>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603EB7"/>
    <w:rsid w:val="006042EB"/>
    <w:rsid w:val="00604A03"/>
    <w:rsid w:val="00617099"/>
    <w:rsid w:val="006314CA"/>
    <w:rsid w:val="00635ACC"/>
    <w:rsid w:val="00640227"/>
    <w:rsid w:val="00640364"/>
    <w:rsid w:val="006448E3"/>
    <w:rsid w:val="0065069D"/>
    <w:rsid w:val="0065093B"/>
    <w:rsid w:val="00656B95"/>
    <w:rsid w:val="00681BCC"/>
    <w:rsid w:val="00686010"/>
    <w:rsid w:val="0068792F"/>
    <w:rsid w:val="00690493"/>
    <w:rsid w:val="006933DA"/>
    <w:rsid w:val="00695EA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07647"/>
    <w:rsid w:val="00710E15"/>
    <w:rsid w:val="00712094"/>
    <w:rsid w:val="00715820"/>
    <w:rsid w:val="00715B31"/>
    <w:rsid w:val="00724867"/>
    <w:rsid w:val="007263D3"/>
    <w:rsid w:val="00730EFC"/>
    <w:rsid w:val="007374C6"/>
    <w:rsid w:val="00740A08"/>
    <w:rsid w:val="00740EAA"/>
    <w:rsid w:val="00742E01"/>
    <w:rsid w:val="00746B6F"/>
    <w:rsid w:val="00760B6B"/>
    <w:rsid w:val="00763DDE"/>
    <w:rsid w:val="00766F93"/>
    <w:rsid w:val="00775846"/>
    <w:rsid w:val="00777514"/>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50FF"/>
    <w:rsid w:val="007D240C"/>
    <w:rsid w:val="007D3DB4"/>
    <w:rsid w:val="007E26D1"/>
    <w:rsid w:val="007F3903"/>
    <w:rsid w:val="00802F19"/>
    <w:rsid w:val="00803974"/>
    <w:rsid w:val="008075DE"/>
    <w:rsid w:val="008076F2"/>
    <w:rsid w:val="008177C1"/>
    <w:rsid w:val="00824808"/>
    <w:rsid w:val="00825873"/>
    <w:rsid w:val="00843647"/>
    <w:rsid w:val="00847A48"/>
    <w:rsid w:val="0085106C"/>
    <w:rsid w:val="00854933"/>
    <w:rsid w:val="008633E4"/>
    <w:rsid w:val="00870677"/>
    <w:rsid w:val="00875DB2"/>
    <w:rsid w:val="00877474"/>
    <w:rsid w:val="00891F46"/>
    <w:rsid w:val="00892246"/>
    <w:rsid w:val="00892C1B"/>
    <w:rsid w:val="0089770A"/>
    <w:rsid w:val="008B2153"/>
    <w:rsid w:val="008B5DDB"/>
    <w:rsid w:val="008C6180"/>
    <w:rsid w:val="008E301D"/>
    <w:rsid w:val="008E514E"/>
    <w:rsid w:val="008E64D2"/>
    <w:rsid w:val="008F5D84"/>
    <w:rsid w:val="008F771C"/>
    <w:rsid w:val="00903951"/>
    <w:rsid w:val="00904988"/>
    <w:rsid w:val="00905057"/>
    <w:rsid w:val="00912C39"/>
    <w:rsid w:val="009162CF"/>
    <w:rsid w:val="0092008A"/>
    <w:rsid w:val="00931AF3"/>
    <w:rsid w:val="00934AAD"/>
    <w:rsid w:val="009414B5"/>
    <w:rsid w:val="00941E41"/>
    <w:rsid w:val="00943433"/>
    <w:rsid w:val="009441F5"/>
    <w:rsid w:val="0094712B"/>
    <w:rsid w:val="00950BB1"/>
    <w:rsid w:val="00960199"/>
    <w:rsid w:val="0096164F"/>
    <w:rsid w:val="009752E2"/>
    <w:rsid w:val="00977816"/>
    <w:rsid w:val="00977F1D"/>
    <w:rsid w:val="00981E85"/>
    <w:rsid w:val="00985AD8"/>
    <w:rsid w:val="0099316A"/>
    <w:rsid w:val="00994658"/>
    <w:rsid w:val="009956A1"/>
    <w:rsid w:val="00997D2E"/>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10D4D"/>
    <w:rsid w:val="00A14692"/>
    <w:rsid w:val="00A15574"/>
    <w:rsid w:val="00A1563E"/>
    <w:rsid w:val="00A15674"/>
    <w:rsid w:val="00A22161"/>
    <w:rsid w:val="00A23711"/>
    <w:rsid w:val="00A27F4E"/>
    <w:rsid w:val="00A30A51"/>
    <w:rsid w:val="00A334E3"/>
    <w:rsid w:val="00A34C09"/>
    <w:rsid w:val="00A42280"/>
    <w:rsid w:val="00A5129F"/>
    <w:rsid w:val="00A5263A"/>
    <w:rsid w:val="00A53739"/>
    <w:rsid w:val="00A628C7"/>
    <w:rsid w:val="00A62A6D"/>
    <w:rsid w:val="00A62E8B"/>
    <w:rsid w:val="00A671B7"/>
    <w:rsid w:val="00A72117"/>
    <w:rsid w:val="00A733B9"/>
    <w:rsid w:val="00A75FAD"/>
    <w:rsid w:val="00A8115D"/>
    <w:rsid w:val="00A87786"/>
    <w:rsid w:val="00A90441"/>
    <w:rsid w:val="00A9700E"/>
    <w:rsid w:val="00AA6DE7"/>
    <w:rsid w:val="00AA78A7"/>
    <w:rsid w:val="00AC59B1"/>
    <w:rsid w:val="00AC70D7"/>
    <w:rsid w:val="00AE3DF6"/>
    <w:rsid w:val="00AF09A3"/>
    <w:rsid w:val="00AF65F5"/>
    <w:rsid w:val="00B03C47"/>
    <w:rsid w:val="00B03DBC"/>
    <w:rsid w:val="00B0557B"/>
    <w:rsid w:val="00B12E0C"/>
    <w:rsid w:val="00B16CC6"/>
    <w:rsid w:val="00B23620"/>
    <w:rsid w:val="00B314C9"/>
    <w:rsid w:val="00B32DF5"/>
    <w:rsid w:val="00B34023"/>
    <w:rsid w:val="00B34DF6"/>
    <w:rsid w:val="00B356B4"/>
    <w:rsid w:val="00B47707"/>
    <w:rsid w:val="00B521C8"/>
    <w:rsid w:val="00B53FF2"/>
    <w:rsid w:val="00B66D0D"/>
    <w:rsid w:val="00B70E8C"/>
    <w:rsid w:val="00B747A9"/>
    <w:rsid w:val="00B77ECA"/>
    <w:rsid w:val="00B93456"/>
    <w:rsid w:val="00B93AFE"/>
    <w:rsid w:val="00B95ED5"/>
    <w:rsid w:val="00B96D69"/>
    <w:rsid w:val="00B9790E"/>
    <w:rsid w:val="00BA15A6"/>
    <w:rsid w:val="00BA16DE"/>
    <w:rsid w:val="00BB0914"/>
    <w:rsid w:val="00BB73A3"/>
    <w:rsid w:val="00BC4539"/>
    <w:rsid w:val="00BC6DF6"/>
    <w:rsid w:val="00BC6F8F"/>
    <w:rsid w:val="00BE0B0D"/>
    <w:rsid w:val="00BE16FA"/>
    <w:rsid w:val="00BE1ACC"/>
    <w:rsid w:val="00C0257C"/>
    <w:rsid w:val="00C13D8E"/>
    <w:rsid w:val="00C21627"/>
    <w:rsid w:val="00C2353D"/>
    <w:rsid w:val="00C237B3"/>
    <w:rsid w:val="00C276DF"/>
    <w:rsid w:val="00C31C91"/>
    <w:rsid w:val="00C3205C"/>
    <w:rsid w:val="00C42EEC"/>
    <w:rsid w:val="00C60B36"/>
    <w:rsid w:val="00C62E12"/>
    <w:rsid w:val="00C62FBD"/>
    <w:rsid w:val="00C643ED"/>
    <w:rsid w:val="00C66714"/>
    <w:rsid w:val="00C71382"/>
    <w:rsid w:val="00C73218"/>
    <w:rsid w:val="00C74EFC"/>
    <w:rsid w:val="00C76255"/>
    <w:rsid w:val="00C82699"/>
    <w:rsid w:val="00C87C48"/>
    <w:rsid w:val="00C9271F"/>
    <w:rsid w:val="00C9359B"/>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5C09"/>
    <w:rsid w:val="00CE5DF6"/>
    <w:rsid w:val="00CF1DE8"/>
    <w:rsid w:val="00D0024B"/>
    <w:rsid w:val="00D00D67"/>
    <w:rsid w:val="00D033F5"/>
    <w:rsid w:val="00D04567"/>
    <w:rsid w:val="00D0612F"/>
    <w:rsid w:val="00D06E02"/>
    <w:rsid w:val="00D113A4"/>
    <w:rsid w:val="00D13998"/>
    <w:rsid w:val="00D1439D"/>
    <w:rsid w:val="00D16DF0"/>
    <w:rsid w:val="00D20661"/>
    <w:rsid w:val="00D30995"/>
    <w:rsid w:val="00D44F42"/>
    <w:rsid w:val="00D46F19"/>
    <w:rsid w:val="00D479C0"/>
    <w:rsid w:val="00D54A62"/>
    <w:rsid w:val="00D54D2F"/>
    <w:rsid w:val="00D568A8"/>
    <w:rsid w:val="00D70333"/>
    <w:rsid w:val="00D70354"/>
    <w:rsid w:val="00D711C3"/>
    <w:rsid w:val="00D73A5F"/>
    <w:rsid w:val="00D76AA4"/>
    <w:rsid w:val="00D76D2C"/>
    <w:rsid w:val="00D8396E"/>
    <w:rsid w:val="00D8465B"/>
    <w:rsid w:val="00D852E7"/>
    <w:rsid w:val="00D95075"/>
    <w:rsid w:val="00D977A0"/>
    <w:rsid w:val="00DA0303"/>
    <w:rsid w:val="00DA3E06"/>
    <w:rsid w:val="00DB4992"/>
    <w:rsid w:val="00DB52E6"/>
    <w:rsid w:val="00DB73B9"/>
    <w:rsid w:val="00DC6236"/>
    <w:rsid w:val="00DC7E22"/>
    <w:rsid w:val="00DD016F"/>
    <w:rsid w:val="00DD50F0"/>
    <w:rsid w:val="00DE0A3F"/>
    <w:rsid w:val="00DE0F82"/>
    <w:rsid w:val="00DE2C75"/>
    <w:rsid w:val="00DF20CF"/>
    <w:rsid w:val="00E00B0B"/>
    <w:rsid w:val="00E01A29"/>
    <w:rsid w:val="00E03E3D"/>
    <w:rsid w:val="00E10586"/>
    <w:rsid w:val="00E1214A"/>
    <w:rsid w:val="00E12A57"/>
    <w:rsid w:val="00E1606A"/>
    <w:rsid w:val="00E1666A"/>
    <w:rsid w:val="00E25E05"/>
    <w:rsid w:val="00E36A55"/>
    <w:rsid w:val="00E41D40"/>
    <w:rsid w:val="00E42598"/>
    <w:rsid w:val="00E46982"/>
    <w:rsid w:val="00E5070B"/>
    <w:rsid w:val="00E50784"/>
    <w:rsid w:val="00E52E74"/>
    <w:rsid w:val="00E80494"/>
    <w:rsid w:val="00E82766"/>
    <w:rsid w:val="00E97203"/>
    <w:rsid w:val="00EA1B9D"/>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38FF"/>
    <w:rsid w:val="00F343F0"/>
    <w:rsid w:val="00F46DF5"/>
    <w:rsid w:val="00F52F3E"/>
    <w:rsid w:val="00F53ABA"/>
    <w:rsid w:val="00F60E4B"/>
    <w:rsid w:val="00F625ED"/>
    <w:rsid w:val="00F659F7"/>
    <w:rsid w:val="00F81267"/>
    <w:rsid w:val="00FA365A"/>
    <w:rsid w:val="00FB1B26"/>
    <w:rsid w:val="00FB42DB"/>
    <w:rsid w:val="00FB5662"/>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46DCCA76"/>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C62E1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25260.pcdn.co/wp-content/uploads/2017/11/Chpt_3_I_Academic_Staff.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824517-9089-4406-9972-0EFB2E60E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C4EFB-00DF-4154-AB12-14DFC0C3AAFA}">
  <ds:schemaRefs>
    <ds:schemaRef ds:uri="http://schemas.openxmlformats.org/officeDocument/2006/bibliography"/>
  </ds:schemaRefs>
</ds:datastoreItem>
</file>

<file path=customXml/itemProps3.xml><?xml version="1.0" encoding="utf-8"?>
<ds:datastoreItem xmlns:ds="http://schemas.openxmlformats.org/officeDocument/2006/customXml" ds:itemID="{EECB510C-7AE8-4162-B10F-AAD16CE82D55}">
  <ds:schemaRefs>
    <ds:schemaRef ds:uri="http://schemas.microsoft.com/sharepoint/v3/contenttype/forms"/>
  </ds:schemaRefs>
</ds:datastoreItem>
</file>

<file path=customXml/itemProps4.xml><?xml version="1.0" encoding="utf-8"?>
<ds:datastoreItem xmlns:ds="http://schemas.openxmlformats.org/officeDocument/2006/customXml" ds:itemID="{52C9FE8E-1FF9-4742-B45F-633F76974AF9}">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8516</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9991</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2023-01-17T20:57:00Z</cp:lastPrinted>
  <dcterms:created xsi:type="dcterms:W3CDTF">2026-04-07T17:03:00Z</dcterms:created>
  <dcterms:modified xsi:type="dcterms:W3CDTF">2026-04-07T17:03:00Z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[{"pageNumber":0,"geomIndex":51,"lastGeomIndex":70,"textElement":"I.\tPolicy Statement","headingStructure":"h1","identifiers":{"PARAGRAPH_ID":"2"},"issueTypeId":"HeadingStructureNotOneIssue:DOCX","dismiss":false,"pageNumbers":[-1],"coordinatesList":[null]},{"pageNumber":0,"geomIndex":51,"textElement":"I.\tPolicy Statement","lastGeomIndex":69,"listFormat":"upper-roman","identifiers":{"PARAGRAPH_ID":"2"},"issueTypeId":"FormattedListIssue:DOCX","dismiss":false,"pageNumbers":[1],"coordinatesList":[[57.24399948120117,183.04998779296875,355.63603591918945,102.49996376037598]]},{"pageNumber":0,"geomIndex":1330,"textElement":"II.\tPurpose of Policy","lastGeomIndex":1349,"listFormat":"upper-roman","identifiers":{"PARAGRAPH_ID":"7"},"issueTypeId":"FormattedListIssue:DOCX","dismiss":false,"pageNumbers":[1],"coordinatesList":[[54.099998474121094,470.3999938964844,121.77605438232422,7.320000171661377]]},{"pageNumber":0,"geomIndex":3063,"textElement":"III.\tApplicability","lastGeomIndex":3081,"listFormat":"upper-roman","identifiers":{"PARAGRAPH_ID":"19"},"issueTypeId":"FormattedListIssue:DOCX","dismiss":false,"pageNumbers":[2],"coordinatesList":[[54.099998474121094,230.1500244140625,98.01599884033203,7.320000171661377]]},{"pageNumber":0,"geomIndex":3125,"textElement":"IV.\tDefinitions","lastGeomIndex":3140,"listFormat":"upper-roman","identifiers":{"PARAGRAPH_ID":"21"},"issueTypeId":"FormattedListIssue:DOCX","dismiss":false,"pageNumbers":[2],"coordinatesList":[[54.099998474121094,280.45001220703125,90.27600860595703,7.320000171661377]]},{"pageNumber":0,"geomIndex":3271,"textElement":"V.\tPolicy Procedure","lastGeomIndex":3289,"listFormat":"upper-roman","identifiers":{"PARAGRAPH_ID":"25"},"issueTypeId":"FormattedListIssue:DOCX","dismiss":false,"pageNumbers":[2],"coordinatesList":[[54.099998474121094,350.04998779296875,119.37601470947266,7.320000171661377]]},{"pageNumber":0,"geomIndex":7408,"textElement":"VI.\tEnforcement","lastGeomIndex":7423,"listFormat":"upper-roman","identifiers":{"PARAGRAPH_ID":"48"},"issueTypeId":"FormattedListIssue:DOCX","dismiss":false,"pageNumbers":[3],"coordinatesList":[[54.099998474121094,622.5,100.18799591064453,7.320000171661377]]},{"pageNumber":0,"geomIndex":7476,"textElement":"VII.\tPolicy Management","lastGeomIndex":7497,"listFormat":"upper-roman","identifiers":{"PARAGRAPH_ID":"50"},"issueTypeId":"FormattedListIssue:DOCX","dismiss":false,"pageNumbers":[3],"coordinatesList":[[54.099998474121094,672.7999877929688,134.90401458740234,7.320000171661377]]},{"pageNumber":0,"geomIndex":7655,"textElement":"VIII.\tExclusions","lastGeomIndex":7671,"listFormat":"upper-roman","identifiers":{"PARAGRAPH_ID":"52"},"issueTypeId":"FormattedListIssue:DOCX","dismiss":false,"pageNumbers":[4],"coordinatesList":[[54.099998474121094,49.1500244140625,87.12000274658203,7.320000171661377]]},{"pageNumber":0,"geomIndex":7740,"textElement":"IX.\tEffective Date","lastGeomIndex":7757,"listFormat":"upper-roman","identifiers":{"PARAGRAPH_ID":"54"},"issueTypeId":"FormattedListIssue:DOCX","dismiss":false,"pageNumbers":[4],"coordinatesList":[[54.099998474121094,99.45001220703125,105.18000030517578,7.320000171661377]]},{"pageNumber":0,"geomIndex":7826,"textElement":"X. \tAdoption","lastGeomIndex":7837,"listFormat":"upper-roman","identifiers":{"PARAGRAPH_ID":"56"},"issueTypeId":"FormattedListIssue:DOCX","dismiss":false,"pageNumbers":[4],"coordinatesList":[[54.099998474121094,149.75,82.4520034790039,7.320000171661377]]},{"pageNumber":0,"geomIndex":8047,"textElement":"XI.\tAppendices, References and Related Materials","lastGeomIndex":8090,"listFormat":"upper-roman","identifiers":{"PARAGRAPH_ID":"62"},"issueTypeId":"FormattedListIssue:DOCX","dismiss":false,"pageNumbers":[4],"coordinatesList":[[54.099998474121094,294.6499938964844,267.3360366821289,7.320000171661377]]},{"pageNumber":0,"geomIndex":8093,"textElement":"XII.\tRevision History","lastGeomIndex":8113,"listFormat":"upper-roman","identifiers":{"PARAGRAPH_ID":"64"},"issueTypeId":"FormattedListIssue:DOCX","dismiss":false,"pageNumbers":[4],"coordinatesList":[[54.099998474121094,344.95001220703125,116.47200775146484,7.320000171661377]]}]</vt:lpwstr>
  </property>
</Properties>
</file>