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A4CF5" w14:textId="77777777" w:rsidR="003151C5" w:rsidRPr="00CD73D2" w:rsidRDefault="003151C5" w:rsidP="00BC6F8F">
      <w:pPr>
        <w:jc w:val="both"/>
      </w:pPr>
    </w:p>
    <w:p w14:paraId="52BD57A7" w14:textId="1AD6D856" w:rsidR="009C56F4" w:rsidRDefault="009C56F4" w:rsidP="009C56F4">
      <w:pPr>
        <w:pStyle w:val="Caption"/>
        <w:keepNext/>
      </w:pPr>
      <w:r>
        <w:t xml:space="preserve">Table </w:t>
      </w:r>
      <w:r w:rsidR="00581AEE">
        <w:fldChar w:fldCharType="begin"/>
      </w:r>
      <w:r w:rsidR="00581AEE">
        <w:instrText xml:space="preserve"> SEQ Table \* ARABIC </w:instrText>
      </w:r>
      <w:r w:rsidR="00581AEE">
        <w:fldChar w:fldCharType="separate"/>
      </w:r>
      <w:r>
        <w:rPr>
          <w:noProof/>
        </w:rPr>
        <w:t>1</w:t>
      </w:r>
      <w:r w:rsidR="00581AEE">
        <w:rPr>
          <w:noProof/>
        </w:rPr>
        <w:fldChar w:fldCharType="end"/>
      </w:r>
      <w:r>
        <w:t>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83"/>
        <w:gridCol w:w="4392"/>
        <w:gridCol w:w="4673"/>
      </w:tblGrid>
      <w:tr w:rsidR="00EB28CB" w:rsidRPr="00065E93" w14:paraId="270A1B6C" w14:textId="77777777" w:rsidTr="009C56F4">
        <w:trPr>
          <w:trHeight w:val="2130"/>
        </w:trPr>
        <w:tc>
          <w:tcPr>
            <w:tcW w:w="2383" w:type="dxa"/>
            <w:shd w:val="clear" w:color="auto" w:fill="auto"/>
          </w:tcPr>
          <w:p w14:paraId="1F871312" w14:textId="77777777" w:rsidR="003151C5" w:rsidRPr="003151C5" w:rsidRDefault="00EB28CB" w:rsidP="003151C5">
            <w:pPr>
              <w:ind w:right="-112"/>
              <w:jc w:val="center"/>
            </w:pPr>
            <w:r>
              <w:rPr>
                <w:noProof/>
              </w:rPr>
              <w:drawing>
                <wp:inline distT="0" distB="0" distL="0" distR="0" wp14:anchorId="0F8FB64E" wp14:editId="15E88334">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392" w:type="dxa"/>
            <w:shd w:val="clear" w:color="auto" w:fill="auto"/>
            <w:vAlign w:val="center"/>
          </w:tcPr>
          <w:p w14:paraId="1BF358A2" w14:textId="77777777" w:rsidR="003151C5" w:rsidRPr="00620C85" w:rsidRDefault="009F0272" w:rsidP="009F0272">
            <w:pPr>
              <w:jc w:val="center"/>
              <w:rPr>
                <w:rFonts w:asciiTheme="minorHAnsi" w:hAnsiTheme="minorHAnsi"/>
                <w:i/>
              </w:rPr>
            </w:pPr>
            <w:r w:rsidRPr="00620C85">
              <w:rPr>
                <w:rFonts w:asciiTheme="minorHAnsi" w:hAnsiTheme="minorHAnsi"/>
                <w:b/>
                <w:i/>
                <w:sz w:val="32"/>
              </w:rPr>
              <w:t>CASH HANDLING POLICY</w:t>
            </w:r>
          </w:p>
        </w:tc>
        <w:tc>
          <w:tcPr>
            <w:tcW w:w="4673" w:type="dxa"/>
            <w:shd w:val="clear" w:color="auto" w:fill="auto"/>
            <w:vAlign w:val="center"/>
          </w:tcPr>
          <w:tbl>
            <w:tblPr>
              <w:tblpPr w:leftFromText="187" w:rightFromText="187" w:vertAnchor="text" w:horzAnchor="page" w:tblpX="635" w:tblpY="-1741"/>
              <w:tblOverlap w:val="never"/>
              <w:tblW w:w="44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27"/>
              <w:gridCol w:w="2120"/>
            </w:tblGrid>
            <w:tr w:rsidR="000D5D19" w:rsidRPr="00517994" w14:paraId="1F996C1C" w14:textId="77777777" w:rsidTr="0059104B">
              <w:trPr>
                <w:trHeight w:val="354"/>
              </w:trPr>
              <w:tc>
                <w:tcPr>
                  <w:tcW w:w="2327" w:type="dxa"/>
                  <w:shd w:val="clear" w:color="auto" w:fill="auto"/>
                  <w:tcMar>
                    <w:left w:w="86" w:type="dxa"/>
                    <w:right w:w="29" w:type="dxa"/>
                  </w:tcMar>
                  <w:vAlign w:val="bottom"/>
                </w:tcPr>
                <w:p w14:paraId="619BF014" w14:textId="77777777" w:rsidR="000D5D19" w:rsidRPr="00517994" w:rsidRDefault="000D5D19" w:rsidP="00D52206">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120" w:type="dxa"/>
                  <w:shd w:val="clear" w:color="auto" w:fill="auto"/>
                  <w:vAlign w:val="bottom"/>
                </w:tcPr>
                <w:p w14:paraId="36561611" w14:textId="77777777" w:rsidR="000D5D19" w:rsidRPr="00517994" w:rsidRDefault="00CE1DEB" w:rsidP="00D52206">
                  <w:pPr>
                    <w:rPr>
                      <w:rFonts w:asciiTheme="minorHAnsi" w:hAnsiTheme="minorHAnsi"/>
                      <w:bCs/>
                      <w:sz w:val="20"/>
                      <w:szCs w:val="20"/>
                    </w:rPr>
                  </w:pPr>
                  <w:r>
                    <w:rPr>
                      <w:rFonts w:asciiTheme="minorHAnsi" w:hAnsiTheme="minorHAnsi"/>
                      <w:bCs/>
                      <w:sz w:val="20"/>
                      <w:szCs w:val="20"/>
                    </w:rPr>
                    <w:t>CO002.1</w:t>
                  </w:r>
                </w:p>
              </w:tc>
            </w:tr>
            <w:tr w:rsidR="000D5D19" w:rsidRPr="00517994" w14:paraId="4DCD2594" w14:textId="77777777" w:rsidTr="0059104B">
              <w:trPr>
                <w:trHeight w:val="242"/>
              </w:trPr>
              <w:tc>
                <w:tcPr>
                  <w:tcW w:w="2327" w:type="dxa"/>
                  <w:shd w:val="clear" w:color="auto" w:fill="auto"/>
                  <w:tcMar>
                    <w:left w:w="86" w:type="dxa"/>
                    <w:right w:w="29" w:type="dxa"/>
                  </w:tcMar>
                  <w:vAlign w:val="bottom"/>
                </w:tcPr>
                <w:p w14:paraId="5BD53128" w14:textId="77777777" w:rsidR="000D5D19" w:rsidRPr="00517994" w:rsidRDefault="000D5D19" w:rsidP="00D52206">
                  <w:pPr>
                    <w:rPr>
                      <w:rFonts w:asciiTheme="minorHAnsi" w:hAnsiTheme="minorHAnsi"/>
                      <w:bCs/>
                      <w:sz w:val="20"/>
                      <w:szCs w:val="20"/>
                    </w:rPr>
                  </w:pPr>
                  <w:r w:rsidRPr="00517994">
                    <w:rPr>
                      <w:rFonts w:asciiTheme="minorHAnsi" w:hAnsiTheme="minorHAnsi"/>
                      <w:b/>
                      <w:bCs/>
                      <w:sz w:val="20"/>
                      <w:szCs w:val="20"/>
                    </w:rPr>
                    <w:t>Policy Type:</w:t>
                  </w:r>
                </w:p>
              </w:tc>
              <w:tc>
                <w:tcPr>
                  <w:tcW w:w="2120" w:type="dxa"/>
                  <w:shd w:val="clear" w:color="auto" w:fill="auto"/>
                  <w:vAlign w:val="bottom"/>
                </w:tcPr>
                <w:p w14:paraId="1CCBB435" w14:textId="77777777" w:rsidR="000D5D19" w:rsidRPr="00517994" w:rsidRDefault="009F0272" w:rsidP="00D52206">
                  <w:pPr>
                    <w:rPr>
                      <w:rFonts w:asciiTheme="minorHAnsi" w:hAnsiTheme="minorHAnsi"/>
                      <w:bCs/>
                      <w:sz w:val="20"/>
                      <w:szCs w:val="20"/>
                    </w:rPr>
                  </w:pPr>
                  <w:r>
                    <w:rPr>
                      <w:rFonts w:asciiTheme="minorHAnsi" w:hAnsiTheme="minorHAnsi"/>
                      <w:bCs/>
                      <w:sz w:val="20"/>
                      <w:szCs w:val="20"/>
                    </w:rPr>
                    <w:t>University</w:t>
                  </w:r>
                </w:p>
              </w:tc>
            </w:tr>
            <w:tr w:rsidR="000D5D19" w:rsidRPr="00517994" w14:paraId="75E61D51" w14:textId="77777777" w:rsidTr="0059104B">
              <w:trPr>
                <w:trHeight w:val="232"/>
              </w:trPr>
              <w:tc>
                <w:tcPr>
                  <w:tcW w:w="2327" w:type="dxa"/>
                  <w:tcBorders>
                    <w:top w:val="nil"/>
                    <w:bottom w:val="nil"/>
                  </w:tcBorders>
                  <w:shd w:val="clear" w:color="auto" w:fill="auto"/>
                  <w:tcMar>
                    <w:left w:w="86" w:type="dxa"/>
                    <w:right w:w="29" w:type="dxa"/>
                  </w:tcMar>
                </w:tcPr>
                <w:p w14:paraId="52276DD0" w14:textId="77777777" w:rsidR="000D5D19" w:rsidRPr="00517994" w:rsidRDefault="000D5D19" w:rsidP="00D52206">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120" w:type="dxa"/>
                  <w:tcBorders>
                    <w:top w:val="nil"/>
                    <w:bottom w:val="nil"/>
                  </w:tcBorders>
                  <w:shd w:val="clear" w:color="auto" w:fill="auto"/>
                </w:tcPr>
                <w:p w14:paraId="4DACB69A" w14:textId="77777777" w:rsidR="000D5D19" w:rsidRPr="00517994" w:rsidRDefault="009F0272" w:rsidP="00D52206">
                  <w:pPr>
                    <w:widowControl w:val="0"/>
                    <w:rPr>
                      <w:rFonts w:asciiTheme="minorHAnsi" w:hAnsiTheme="minorHAnsi"/>
                      <w:bCs/>
                      <w:sz w:val="20"/>
                      <w:szCs w:val="20"/>
                    </w:rPr>
                  </w:pPr>
                  <w:r>
                    <w:rPr>
                      <w:rFonts w:asciiTheme="minorHAnsi" w:hAnsiTheme="minorHAnsi"/>
                      <w:bCs/>
                      <w:sz w:val="20"/>
                      <w:szCs w:val="20"/>
                    </w:rPr>
                    <w:t xml:space="preserve">VP </w:t>
                  </w:r>
                  <w:r w:rsidR="00CE1DEB">
                    <w:rPr>
                      <w:rFonts w:asciiTheme="minorHAnsi" w:hAnsiTheme="minorHAnsi"/>
                      <w:bCs/>
                      <w:sz w:val="20"/>
                      <w:szCs w:val="20"/>
                    </w:rPr>
                    <w:t>for</w:t>
                  </w:r>
                  <w:r>
                    <w:rPr>
                      <w:rFonts w:asciiTheme="minorHAnsi" w:hAnsiTheme="minorHAnsi"/>
                      <w:bCs/>
                      <w:sz w:val="20"/>
                      <w:szCs w:val="20"/>
                    </w:rPr>
                    <w:t xml:space="preserve"> Business Affairs</w:t>
                  </w:r>
                </w:p>
              </w:tc>
            </w:tr>
            <w:tr w:rsidR="000D5D19" w:rsidRPr="00517994" w14:paraId="034CCDFA" w14:textId="77777777" w:rsidTr="0059104B">
              <w:trPr>
                <w:trHeight w:val="262"/>
              </w:trPr>
              <w:tc>
                <w:tcPr>
                  <w:tcW w:w="2327" w:type="dxa"/>
                  <w:tcBorders>
                    <w:top w:val="nil"/>
                    <w:bottom w:val="nil"/>
                  </w:tcBorders>
                  <w:shd w:val="clear" w:color="auto" w:fill="auto"/>
                  <w:tcMar>
                    <w:left w:w="86" w:type="dxa"/>
                    <w:right w:w="29" w:type="dxa"/>
                  </w:tcMar>
                  <w:vAlign w:val="bottom"/>
                </w:tcPr>
                <w:p w14:paraId="17FF916F" w14:textId="77777777" w:rsidR="000D5D19" w:rsidRPr="00517994" w:rsidRDefault="000D5D19" w:rsidP="00D52206">
                  <w:pPr>
                    <w:rPr>
                      <w:rFonts w:asciiTheme="minorHAnsi" w:hAnsiTheme="minorHAnsi"/>
                      <w:bCs/>
                      <w:sz w:val="20"/>
                      <w:szCs w:val="20"/>
                    </w:rPr>
                  </w:pPr>
                  <w:r w:rsidRPr="00517994">
                    <w:rPr>
                      <w:rFonts w:asciiTheme="minorHAnsi" w:hAnsiTheme="minorHAnsi"/>
                      <w:b/>
                      <w:bCs/>
                      <w:sz w:val="20"/>
                      <w:szCs w:val="20"/>
                    </w:rPr>
                    <w:t>Responsible Office:</w:t>
                  </w:r>
                  <w:r w:rsidR="009F0272">
                    <w:rPr>
                      <w:rFonts w:asciiTheme="minorHAnsi" w:hAnsiTheme="minorHAnsi"/>
                      <w:b/>
                      <w:bCs/>
                      <w:sz w:val="20"/>
                      <w:szCs w:val="20"/>
                    </w:rPr>
                    <w:t xml:space="preserve"> </w:t>
                  </w:r>
                  <w:r w:rsidRPr="00517994">
                    <w:rPr>
                      <w:rFonts w:asciiTheme="minorHAnsi" w:hAnsiTheme="minorHAnsi"/>
                      <w:b/>
                      <w:bCs/>
                      <w:sz w:val="20"/>
                      <w:szCs w:val="20"/>
                    </w:rPr>
                    <w:t xml:space="preserve">  </w:t>
                  </w:r>
                  <w:r w:rsidRPr="00517994">
                    <w:rPr>
                      <w:rFonts w:asciiTheme="minorHAnsi" w:hAnsiTheme="minorHAnsi"/>
                      <w:bCs/>
                      <w:sz w:val="20"/>
                      <w:szCs w:val="20"/>
                    </w:rPr>
                    <w:t xml:space="preserve">   </w:t>
                  </w:r>
                </w:p>
              </w:tc>
              <w:tc>
                <w:tcPr>
                  <w:tcW w:w="2120" w:type="dxa"/>
                  <w:tcBorders>
                    <w:top w:val="nil"/>
                    <w:bottom w:val="nil"/>
                  </w:tcBorders>
                  <w:shd w:val="clear" w:color="auto" w:fill="auto"/>
                  <w:vAlign w:val="bottom"/>
                </w:tcPr>
                <w:p w14:paraId="427AFD1B" w14:textId="77777777" w:rsidR="000D5D19" w:rsidRPr="00517994" w:rsidRDefault="009F0272" w:rsidP="00D52206">
                  <w:pPr>
                    <w:rPr>
                      <w:rFonts w:asciiTheme="minorHAnsi" w:hAnsiTheme="minorHAnsi"/>
                      <w:bCs/>
                      <w:sz w:val="20"/>
                      <w:szCs w:val="20"/>
                    </w:rPr>
                  </w:pPr>
                  <w:r>
                    <w:rPr>
                      <w:rFonts w:asciiTheme="minorHAnsi" w:hAnsiTheme="minorHAnsi"/>
                      <w:bCs/>
                      <w:sz w:val="20"/>
                      <w:szCs w:val="20"/>
                    </w:rPr>
                    <w:t>Office of the Controller</w:t>
                  </w:r>
                </w:p>
              </w:tc>
            </w:tr>
            <w:tr w:rsidR="000D5D19" w:rsidRPr="00517994" w14:paraId="65423A05" w14:textId="77777777" w:rsidTr="0059104B">
              <w:trPr>
                <w:trHeight w:val="262"/>
              </w:trPr>
              <w:tc>
                <w:tcPr>
                  <w:tcW w:w="2327" w:type="dxa"/>
                  <w:tcBorders>
                    <w:top w:val="nil"/>
                  </w:tcBorders>
                  <w:shd w:val="clear" w:color="auto" w:fill="auto"/>
                  <w:tcMar>
                    <w:left w:w="86" w:type="dxa"/>
                    <w:right w:w="29" w:type="dxa"/>
                  </w:tcMar>
                  <w:vAlign w:val="bottom"/>
                </w:tcPr>
                <w:p w14:paraId="3486A924" w14:textId="77777777" w:rsidR="000D5D19" w:rsidRPr="00517994" w:rsidRDefault="000D5D19" w:rsidP="00D52206">
                  <w:pPr>
                    <w:rPr>
                      <w:rFonts w:asciiTheme="minorHAnsi" w:hAnsiTheme="minorHAnsi"/>
                      <w:b/>
                      <w:bCs/>
                      <w:sz w:val="20"/>
                      <w:szCs w:val="20"/>
                    </w:rPr>
                  </w:pPr>
                  <w:r w:rsidRPr="00517994">
                    <w:rPr>
                      <w:rFonts w:asciiTheme="minorHAnsi" w:hAnsiTheme="minorHAnsi"/>
                      <w:b/>
                      <w:bCs/>
                      <w:sz w:val="20"/>
                      <w:szCs w:val="20"/>
                    </w:rPr>
                    <w:t>Originally Issued:</w:t>
                  </w:r>
                </w:p>
              </w:tc>
              <w:tc>
                <w:tcPr>
                  <w:tcW w:w="2120" w:type="dxa"/>
                  <w:tcBorders>
                    <w:top w:val="nil"/>
                  </w:tcBorders>
                  <w:shd w:val="clear" w:color="auto" w:fill="auto"/>
                  <w:vAlign w:val="bottom"/>
                </w:tcPr>
                <w:p w14:paraId="2D13A233" w14:textId="77777777" w:rsidR="000D5D19" w:rsidRPr="00517994" w:rsidRDefault="00CE1DEB" w:rsidP="00D52206">
                  <w:pPr>
                    <w:rPr>
                      <w:rFonts w:asciiTheme="minorHAnsi" w:hAnsiTheme="minorHAnsi"/>
                      <w:bCs/>
                      <w:sz w:val="20"/>
                      <w:szCs w:val="20"/>
                    </w:rPr>
                  </w:pPr>
                  <w:r>
                    <w:rPr>
                      <w:rFonts w:asciiTheme="minorHAnsi" w:hAnsiTheme="minorHAnsi"/>
                      <w:bCs/>
                      <w:sz w:val="20"/>
                      <w:szCs w:val="20"/>
                    </w:rPr>
                    <w:t>May 23, 2018</w:t>
                  </w:r>
                </w:p>
              </w:tc>
            </w:tr>
            <w:tr w:rsidR="000D5D19" w:rsidRPr="00517994" w14:paraId="2B418351" w14:textId="77777777" w:rsidTr="0059104B">
              <w:trPr>
                <w:trHeight w:val="262"/>
              </w:trPr>
              <w:tc>
                <w:tcPr>
                  <w:tcW w:w="2327" w:type="dxa"/>
                  <w:shd w:val="clear" w:color="auto" w:fill="auto"/>
                  <w:tcMar>
                    <w:left w:w="86" w:type="dxa"/>
                    <w:right w:w="29" w:type="dxa"/>
                  </w:tcMar>
                  <w:vAlign w:val="bottom"/>
                </w:tcPr>
                <w:p w14:paraId="38B8B433" w14:textId="77777777" w:rsidR="000D5D19" w:rsidRPr="00517994" w:rsidRDefault="000D5D19" w:rsidP="00D52206">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120" w:type="dxa"/>
                  <w:shd w:val="clear" w:color="auto" w:fill="auto"/>
                  <w:vAlign w:val="bottom"/>
                </w:tcPr>
                <w:p w14:paraId="20E5CEF6" w14:textId="77777777" w:rsidR="000D5D19" w:rsidRPr="00517994" w:rsidRDefault="00896E07" w:rsidP="00D52206">
                  <w:pPr>
                    <w:tabs>
                      <w:tab w:val="left" w:pos="1867"/>
                    </w:tabs>
                    <w:ind w:right="-853"/>
                    <w:rPr>
                      <w:rFonts w:asciiTheme="minorHAnsi" w:hAnsiTheme="minorHAnsi"/>
                      <w:bCs/>
                      <w:sz w:val="20"/>
                      <w:szCs w:val="20"/>
                    </w:rPr>
                  </w:pPr>
                  <w:r>
                    <w:rPr>
                      <w:rFonts w:asciiTheme="minorHAnsi" w:hAnsiTheme="minorHAnsi"/>
                      <w:bCs/>
                      <w:sz w:val="20"/>
                      <w:szCs w:val="20"/>
                    </w:rPr>
                    <w:t>September 30</w:t>
                  </w:r>
                  <w:r w:rsidR="00CE1DEB">
                    <w:rPr>
                      <w:rFonts w:asciiTheme="minorHAnsi" w:hAnsiTheme="minorHAnsi"/>
                      <w:bCs/>
                      <w:sz w:val="20"/>
                      <w:szCs w:val="20"/>
                    </w:rPr>
                    <w:t>, 2019</w:t>
                  </w:r>
                </w:p>
              </w:tc>
            </w:tr>
            <w:tr w:rsidR="000D5D19" w:rsidRPr="00517994" w14:paraId="101C0AE0" w14:textId="77777777" w:rsidTr="0059104B">
              <w:trPr>
                <w:trHeight w:val="262"/>
              </w:trPr>
              <w:tc>
                <w:tcPr>
                  <w:tcW w:w="2327" w:type="dxa"/>
                  <w:shd w:val="clear" w:color="auto" w:fill="auto"/>
                  <w:tcMar>
                    <w:left w:w="86" w:type="dxa"/>
                    <w:right w:w="29" w:type="dxa"/>
                  </w:tcMar>
                  <w:vAlign w:val="bottom"/>
                </w:tcPr>
                <w:p w14:paraId="0B578D00" w14:textId="77777777" w:rsidR="000D5D19" w:rsidRPr="00517994" w:rsidRDefault="000D5D19" w:rsidP="00D52206">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120" w:type="dxa"/>
                  <w:shd w:val="clear" w:color="auto" w:fill="auto"/>
                  <w:vAlign w:val="bottom"/>
                </w:tcPr>
                <w:p w14:paraId="38C8F2EC" w14:textId="77777777" w:rsidR="000D5D19" w:rsidRPr="00517994" w:rsidRDefault="00896E07" w:rsidP="00D52206">
                  <w:pPr>
                    <w:tabs>
                      <w:tab w:val="left" w:pos="1867"/>
                    </w:tabs>
                    <w:ind w:right="-853"/>
                    <w:rPr>
                      <w:rFonts w:asciiTheme="minorHAnsi" w:hAnsiTheme="minorHAnsi"/>
                      <w:bCs/>
                      <w:sz w:val="20"/>
                      <w:szCs w:val="20"/>
                    </w:rPr>
                  </w:pPr>
                  <w:r>
                    <w:rPr>
                      <w:rFonts w:asciiTheme="minorHAnsi" w:hAnsiTheme="minorHAnsi"/>
                      <w:bCs/>
                      <w:sz w:val="20"/>
                      <w:szCs w:val="20"/>
                    </w:rPr>
                    <w:t>September 30, 2019</w:t>
                  </w:r>
                </w:p>
              </w:tc>
            </w:tr>
          </w:tbl>
          <w:p w14:paraId="1ED9DD43" w14:textId="77777777" w:rsidR="003151C5" w:rsidRPr="006F6044" w:rsidRDefault="003151C5" w:rsidP="003151C5">
            <w:pPr>
              <w:rPr>
                <w:rFonts w:asciiTheme="minorHAnsi" w:hAnsiTheme="minorHAnsi"/>
                <w:b/>
                <w:sz w:val="20"/>
              </w:rPr>
            </w:pPr>
          </w:p>
        </w:tc>
      </w:tr>
    </w:tbl>
    <w:p w14:paraId="49CACE08" w14:textId="77777777" w:rsidR="001518A1" w:rsidRPr="00D70333" w:rsidRDefault="001518A1" w:rsidP="00EB28CB">
      <w:pPr>
        <w:pStyle w:val="Heading1"/>
        <w:numPr>
          <w:ilvl w:val="0"/>
          <w:numId w:val="35"/>
        </w:numPr>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044EF3E8" w14:textId="77777777" w:rsidR="005949FB" w:rsidRPr="000D1A7A" w:rsidRDefault="009F0272" w:rsidP="00853F78">
      <w:pPr>
        <w:spacing w:before="120" w:after="240"/>
        <w:rPr>
          <w:rFonts w:asciiTheme="minorHAnsi" w:hAnsiTheme="minorHAnsi"/>
        </w:rPr>
      </w:pPr>
      <w:r>
        <w:rPr>
          <w:rFonts w:asciiTheme="minorHAnsi" w:hAnsiTheme="minorHAnsi"/>
        </w:rPr>
        <w:t>The University of Louisiana Monroe’s Cash Handling Policy outlines the University rules for the proper handling of cash, including the responsibilities of University employees involved in the cash handling process.</w:t>
      </w:r>
    </w:p>
    <w:p w14:paraId="63EFCD71" w14:textId="77777777" w:rsidR="007D240C" w:rsidRPr="006F6044" w:rsidRDefault="007D240C" w:rsidP="00EB28CB">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1" w:name="_II._Purpose_of"/>
      <w:bookmarkEnd w:id="1"/>
      <w:r w:rsidRPr="006F6044">
        <w:rPr>
          <w:rFonts w:asciiTheme="minorHAnsi" w:hAnsiTheme="minorHAnsi"/>
        </w:rPr>
        <w:tab/>
        <w:t>Purpose of Policy</w:t>
      </w:r>
    </w:p>
    <w:p w14:paraId="01A950CE" w14:textId="77777777" w:rsidR="005949FB" w:rsidRPr="000D1A7A" w:rsidRDefault="00FC6BCB" w:rsidP="00853F78">
      <w:pPr>
        <w:spacing w:before="120" w:after="240"/>
        <w:rPr>
          <w:rFonts w:asciiTheme="minorHAnsi" w:hAnsiTheme="minorHAnsi"/>
        </w:rPr>
      </w:pPr>
      <w:r>
        <w:rPr>
          <w:rFonts w:asciiTheme="minorHAnsi" w:hAnsiTheme="minorHAnsi"/>
        </w:rPr>
        <w:t>This policy outlines the method of physically handling and accounting for cash received by a Department directly from the remitter or through the mail.</w:t>
      </w:r>
    </w:p>
    <w:p w14:paraId="578D9FC3" w14:textId="77777777" w:rsidR="009C60B1" w:rsidRPr="000D1A7A" w:rsidRDefault="009C60B1" w:rsidP="00EB28CB">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2" w:name="_III._Applicability"/>
      <w:bookmarkEnd w:id="2"/>
      <w:r w:rsidRPr="000D1A7A">
        <w:rPr>
          <w:rFonts w:asciiTheme="minorHAnsi" w:hAnsiTheme="minorHAnsi"/>
        </w:rPr>
        <w:tab/>
        <w:t>Applicability</w:t>
      </w:r>
    </w:p>
    <w:p w14:paraId="6F36ED21" w14:textId="77777777" w:rsidR="005949FB" w:rsidRPr="000D1A7A" w:rsidRDefault="00C965C7" w:rsidP="00853F78">
      <w:pPr>
        <w:spacing w:before="120" w:after="240"/>
        <w:rPr>
          <w:rFonts w:asciiTheme="minorHAnsi" w:hAnsiTheme="minorHAnsi"/>
          <w:b/>
          <w:u w:val="single"/>
        </w:rPr>
      </w:pPr>
      <w:r>
        <w:rPr>
          <w:rFonts w:asciiTheme="minorHAnsi" w:hAnsiTheme="minorHAnsi"/>
        </w:rPr>
        <w:t>This policy is applicable to all faculty and staff, including students, who are involved in the cash handling process.</w:t>
      </w:r>
      <w:r w:rsidR="0007444A">
        <w:rPr>
          <w:rFonts w:asciiTheme="minorHAnsi" w:hAnsiTheme="minorHAnsi"/>
        </w:rPr>
        <w:t xml:space="preserve">  This includes anyone who receives cash, opens mail that includes cash, deposits cash, reconciles revenues,</w:t>
      </w:r>
      <w:r w:rsidR="00FD7477">
        <w:rPr>
          <w:rFonts w:asciiTheme="minorHAnsi" w:hAnsiTheme="minorHAnsi"/>
        </w:rPr>
        <w:t xml:space="preserve"> or reviews Banner funds for proper postings of cash.</w:t>
      </w:r>
      <w:r w:rsidR="0007444A">
        <w:rPr>
          <w:rFonts w:asciiTheme="minorHAnsi" w:hAnsiTheme="minorHAnsi"/>
        </w:rPr>
        <w:t xml:space="preserve"> </w:t>
      </w:r>
    </w:p>
    <w:p w14:paraId="293408DF" w14:textId="77777777" w:rsidR="009C60B1" w:rsidRPr="000D1A7A" w:rsidRDefault="009C60B1" w:rsidP="00EB28CB">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3" w:name="_IV._Definitions"/>
      <w:bookmarkEnd w:id="3"/>
      <w:r w:rsidRPr="000D1A7A">
        <w:rPr>
          <w:rFonts w:asciiTheme="minorHAnsi" w:hAnsiTheme="minorHAnsi"/>
        </w:rPr>
        <w:tab/>
        <w:t>Definitions</w:t>
      </w:r>
    </w:p>
    <w:p w14:paraId="4C450C7B" w14:textId="77777777" w:rsidR="009C60B1" w:rsidRDefault="00C965C7" w:rsidP="00853F78">
      <w:pPr>
        <w:spacing w:before="120"/>
        <w:rPr>
          <w:rFonts w:asciiTheme="minorHAnsi" w:hAnsiTheme="minorHAnsi"/>
        </w:rPr>
      </w:pPr>
      <w:r w:rsidRPr="00C331E4">
        <w:rPr>
          <w:rFonts w:asciiTheme="minorHAnsi" w:hAnsiTheme="minorHAnsi"/>
          <w:b/>
        </w:rPr>
        <w:t>Cash</w:t>
      </w:r>
      <w:r>
        <w:rPr>
          <w:rFonts w:asciiTheme="minorHAnsi" w:hAnsiTheme="minorHAnsi"/>
        </w:rPr>
        <w:t>: currency, coin, check, money order, travelers check, credit card, or debit card.</w:t>
      </w:r>
    </w:p>
    <w:p w14:paraId="0FFCB0BD" w14:textId="77777777" w:rsidR="00853F78" w:rsidRDefault="00853F78" w:rsidP="00853F78">
      <w:pPr>
        <w:rPr>
          <w:rFonts w:asciiTheme="minorHAnsi" w:hAnsiTheme="minorHAnsi"/>
        </w:rPr>
      </w:pPr>
    </w:p>
    <w:p w14:paraId="6C150545" w14:textId="77777777" w:rsidR="005F672A" w:rsidRDefault="005F672A" w:rsidP="00853F78">
      <w:pPr>
        <w:rPr>
          <w:rFonts w:asciiTheme="minorHAnsi" w:hAnsiTheme="minorHAnsi"/>
        </w:rPr>
      </w:pPr>
      <w:r w:rsidRPr="00C331E4">
        <w:rPr>
          <w:rFonts w:asciiTheme="minorHAnsi" w:hAnsiTheme="minorHAnsi"/>
          <w:b/>
        </w:rPr>
        <w:t>Cash handling</w:t>
      </w:r>
      <w:r>
        <w:rPr>
          <w:rFonts w:asciiTheme="minorHAnsi" w:hAnsiTheme="minorHAnsi"/>
        </w:rPr>
        <w:t>:</w:t>
      </w:r>
      <w:r w:rsidR="00C331E4">
        <w:rPr>
          <w:rFonts w:asciiTheme="minorHAnsi" w:hAnsiTheme="minorHAnsi"/>
        </w:rPr>
        <w:t xml:space="preserve">  processes involving cash that may include any of the following: accepting cash payments, endorsing checks, issuing receipts, having access to cash, preparing the departmental deposit ticket, </w:t>
      </w:r>
      <w:r w:rsidR="00635147">
        <w:rPr>
          <w:rFonts w:asciiTheme="minorHAnsi" w:hAnsiTheme="minorHAnsi"/>
        </w:rPr>
        <w:t>reconciling receipts to the departmental deposit ticket, reviewing the department deposit ticket, making the cash deposit, or comparing the departmental deposit ticket to the amount in Banner.</w:t>
      </w:r>
    </w:p>
    <w:p w14:paraId="7D781442" w14:textId="77777777" w:rsidR="00853F78" w:rsidRDefault="00853F78" w:rsidP="00853F78">
      <w:pPr>
        <w:rPr>
          <w:rFonts w:asciiTheme="minorHAnsi" w:hAnsiTheme="minorHAnsi"/>
        </w:rPr>
      </w:pPr>
    </w:p>
    <w:p w14:paraId="02AE3346" w14:textId="77777777" w:rsidR="005F672A" w:rsidRDefault="005F672A" w:rsidP="00853F78">
      <w:pPr>
        <w:rPr>
          <w:rFonts w:asciiTheme="minorHAnsi" w:hAnsiTheme="minorHAnsi"/>
        </w:rPr>
      </w:pPr>
      <w:r w:rsidRPr="00C331E4">
        <w:rPr>
          <w:rFonts w:asciiTheme="minorHAnsi" w:hAnsiTheme="minorHAnsi"/>
          <w:b/>
        </w:rPr>
        <w:t>Restrictively endorsed</w:t>
      </w:r>
      <w:r>
        <w:rPr>
          <w:rFonts w:asciiTheme="minorHAnsi" w:hAnsiTheme="minorHAnsi"/>
        </w:rPr>
        <w:t>:  to stamp “For Deposit Only – ULM” on the back of each check.</w:t>
      </w:r>
    </w:p>
    <w:p w14:paraId="6FF1AB51" w14:textId="77777777" w:rsidR="00853F78" w:rsidRDefault="00853F78" w:rsidP="00853F78">
      <w:pPr>
        <w:rPr>
          <w:rFonts w:asciiTheme="minorHAnsi" w:hAnsiTheme="minorHAnsi"/>
        </w:rPr>
      </w:pPr>
    </w:p>
    <w:p w14:paraId="254626AF" w14:textId="77777777" w:rsidR="005F672A" w:rsidRDefault="005F672A" w:rsidP="00853F78">
      <w:pPr>
        <w:rPr>
          <w:rFonts w:asciiTheme="minorHAnsi" w:hAnsiTheme="minorHAnsi"/>
        </w:rPr>
      </w:pPr>
      <w:r w:rsidRPr="00C331E4">
        <w:rPr>
          <w:rFonts w:asciiTheme="minorHAnsi" w:hAnsiTheme="minorHAnsi"/>
          <w:b/>
        </w:rPr>
        <w:t>Departmental deposit ticket</w:t>
      </w:r>
      <w:r>
        <w:rPr>
          <w:rFonts w:asciiTheme="minorHAnsi" w:hAnsiTheme="minorHAnsi"/>
        </w:rPr>
        <w:t>:</w:t>
      </w:r>
      <w:r w:rsidR="00C542F1">
        <w:rPr>
          <w:rFonts w:asciiTheme="minorHAnsi" w:hAnsiTheme="minorHAnsi"/>
        </w:rPr>
        <w:t xml:space="preserve"> spreadsheet that accompanies c</w:t>
      </w:r>
      <w:r w:rsidR="00635147">
        <w:rPr>
          <w:rFonts w:asciiTheme="minorHAnsi" w:hAnsiTheme="minorHAnsi"/>
        </w:rPr>
        <w:t>ash when it is deposited</w:t>
      </w:r>
      <w:r w:rsidR="00C542F1">
        <w:rPr>
          <w:rFonts w:asciiTheme="minorHAnsi" w:hAnsiTheme="minorHAnsi"/>
        </w:rPr>
        <w:t xml:space="preserve">.  This spreadsheet should include </w:t>
      </w:r>
      <w:r w:rsidR="00C331E4">
        <w:rPr>
          <w:rFonts w:asciiTheme="minorHAnsi" w:hAnsiTheme="minorHAnsi"/>
        </w:rPr>
        <w:t>the name of the department, date, name of person preparing the deposit, and the department telephone number.  It should also include the correct University Banner fund, organization and account (or Index and account), along with a brief description of the transaction.</w:t>
      </w:r>
    </w:p>
    <w:p w14:paraId="0F46D37B" w14:textId="77777777" w:rsidR="00853F78" w:rsidRDefault="00853F78" w:rsidP="00853F78">
      <w:pPr>
        <w:rPr>
          <w:rFonts w:asciiTheme="minorHAnsi" w:hAnsiTheme="minorHAnsi"/>
        </w:rPr>
      </w:pPr>
    </w:p>
    <w:p w14:paraId="2B2BC93C" w14:textId="77777777" w:rsidR="00635147" w:rsidRDefault="00635147" w:rsidP="00853F78">
      <w:pPr>
        <w:rPr>
          <w:rFonts w:asciiTheme="minorHAnsi" w:hAnsiTheme="minorHAnsi"/>
        </w:rPr>
      </w:pPr>
      <w:r w:rsidRPr="00635147">
        <w:rPr>
          <w:rFonts w:asciiTheme="minorHAnsi" w:hAnsiTheme="minorHAnsi"/>
          <w:b/>
        </w:rPr>
        <w:t>La Capitol Federal Credit Union (La Cap)</w:t>
      </w:r>
      <w:r>
        <w:rPr>
          <w:rFonts w:asciiTheme="minorHAnsi" w:hAnsiTheme="minorHAnsi"/>
          <w:b/>
        </w:rPr>
        <w:t xml:space="preserve">:  </w:t>
      </w:r>
      <w:r>
        <w:rPr>
          <w:rFonts w:asciiTheme="minorHAnsi" w:hAnsiTheme="minorHAnsi"/>
        </w:rPr>
        <w:t>institution the University currently contacts with to process deposits for the University.</w:t>
      </w:r>
    </w:p>
    <w:p w14:paraId="49D3DB70" w14:textId="77777777" w:rsidR="00853F78" w:rsidRDefault="00853F78" w:rsidP="00853F78">
      <w:pPr>
        <w:rPr>
          <w:rFonts w:asciiTheme="minorHAnsi" w:hAnsiTheme="minorHAnsi"/>
        </w:rPr>
      </w:pPr>
    </w:p>
    <w:p w14:paraId="5F962CF4" w14:textId="77777777" w:rsidR="00DE3366" w:rsidRPr="00DE3366" w:rsidRDefault="00DE3366" w:rsidP="00853F78">
      <w:pPr>
        <w:spacing w:after="240"/>
        <w:rPr>
          <w:rFonts w:asciiTheme="minorHAnsi" w:hAnsiTheme="minorHAnsi"/>
          <w:u w:val="single"/>
        </w:rPr>
      </w:pPr>
      <w:r w:rsidRPr="00DE3366">
        <w:rPr>
          <w:rFonts w:asciiTheme="minorHAnsi" w:hAnsiTheme="minorHAnsi"/>
          <w:b/>
        </w:rPr>
        <w:t>Cash Collection Center:</w:t>
      </w:r>
      <w:r>
        <w:rPr>
          <w:rFonts w:asciiTheme="minorHAnsi" w:hAnsiTheme="minorHAnsi"/>
          <w:b/>
        </w:rPr>
        <w:t xml:space="preserve">  </w:t>
      </w:r>
      <w:r>
        <w:rPr>
          <w:rFonts w:asciiTheme="minorHAnsi" w:hAnsiTheme="minorHAnsi"/>
        </w:rPr>
        <w:t xml:space="preserve">University department responsible for handling cash. </w:t>
      </w:r>
      <w:r w:rsidR="000B635F">
        <w:rPr>
          <w:rFonts w:asciiTheme="minorHAnsi" w:hAnsiTheme="minorHAnsi"/>
        </w:rPr>
        <w:t>Only official cash collection centers are permitted to handle cash.  A department is not considered a cash collection center without the prior approval of the Controller or Vice President of Business Affairs.</w:t>
      </w:r>
    </w:p>
    <w:p w14:paraId="1F47819B" w14:textId="77777777" w:rsidR="009C60B1" w:rsidRPr="000D1A7A" w:rsidRDefault="009C60B1" w:rsidP="00EB28CB">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4" w:name="_V._Policy_Procedure"/>
      <w:bookmarkEnd w:id="4"/>
      <w:r w:rsidRPr="000D1A7A">
        <w:rPr>
          <w:rFonts w:asciiTheme="minorHAnsi" w:hAnsiTheme="minorHAnsi"/>
        </w:rPr>
        <w:lastRenderedPageBreak/>
        <w:tab/>
        <w:t>Policy Procedure</w:t>
      </w:r>
    </w:p>
    <w:p w14:paraId="1543DF8B" w14:textId="77777777" w:rsidR="00FD7477" w:rsidRPr="00853F78" w:rsidRDefault="00FD7477" w:rsidP="00853F78">
      <w:pPr>
        <w:spacing w:before="120"/>
        <w:rPr>
          <w:rFonts w:asciiTheme="minorHAnsi" w:hAnsiTheme="minorHAnsi"/>
          <w:b/>
        </w:rPr>
      </w:pPr>
      <w:r w:rsidRPr="00853F78">
        <w:rPr>
          <w:rFonts w:asciiTheme="minorHAnsi" w:hAnsiTheme="minorHAnsi"/>
          <w:b/>
        </w:rPr>
        <w:t>Policy</w:t>
      </w:r>
    </w:p>
    <w:p w14:paraId="67E38EDE" w14:textId="77777777" w:rsidR="00907167" w:rsidRPr="00853F78" w:rsidRDefault="00907167" w:rsidP="00BC194D">
      <w:pPr>
        <w:pStyle w:val="ListParagraph"/>
        <w:numPr>
          <w:ilvl w:val="0"/>
          <w:numId w:val="33"/>
        </w:numPr>
        <w:spacing w:before="120" w:after="0"/>
        <w:ind w:left="360"/>
        <w:rPr>
          <w:rFonts w:asciiTheme="minorHAnsi" w:hAnsiTheme="minorHAnsi"/>
          <w:sz w:val="24"/>
          <w:szCs w:val="24"/>
        </w:rPr>
      </w:pPr>
      <w:r w:rsidRPr="00853F78">
        <w:rPr>
          <w:rFonts w:asciiTheme="minorHAnsi" w:hAnsiTheme="minorHAnsi"/>
          <w:sz w:val="24"/>
          <w:szCs w:val="24"/>
        </w:rPr>
        <w:t>University employees who receive and/or deposit cash must properly safeguard the cash and deposit it timely</w:t>
      </w:r>
      <w:r w:rsidR="00D7190D" w:rsidRPr="00853F78">
        <w:rPr>
          <w:rFonts w:asciiTheme="minorHAnsi" w:hAnsiTheme="minorHAnsi"/>
          <w:sz w:val="24"/>
          <w:szCs w:val="24"/>
        </w:rPr>
        <w:t>.</w:t>
      </w:r>
      <w:r w:rsidRPr="00853F78">
        <w:rPr>
          <w:rFonts w:asciiTheme="minorHAnsi" w:hAnsiTheme="minorHAnsi"/>
          <w:sz w:val="24"/>
          <w:szCs w:val="24"/>
        </w:rPr>
        <w:t xml:space="preserve"> </w:t>
      </w:r>
    </w:p>
    <w:p w14:paraId="1FECBD68" w14:textId="77777777" w:rsidR="00FD7477" w:rsidRPr="00853F78" w:rsidRDefault="00FD7477" w:rsidP="00BC194D">
      <w:pPr>
        <w:pStyle w:val="ListParagraph"/>
        <w:spacing w:after="0"/>
        <w:ind w:left="360"/>
        <w:rPr>
          <w:rFonts w:asciiTheme="minorHAnsi" w:hAnsiTheme="minorHAnsi"/>
          <w:sz w:val="24"/>
          <w:szCs w:val="24"/>
        </w:rPr>
      </w:pPr>
    </w:p>
    <w:p w14:paraId="582B01B1" w14:textId="77777777" w:rsidR="00907167" w:rsidRPr="00853F78" w:rsidRDefault="00907167" w:rsidP="00BC194D">
      <w:pPr>
        <w:pStyle w:val="ListParagraph"/>
        <w:numPr>
          <w:ilvl w:val="0"/>
          <w:numId w:val="33"/>
        </w:numPr>
        <w:spacing w:after="0"/>
        <w:ind w:left="360"/>
        <w:rPr>
          <w:rFonts w:asciiTheme="minorHAnsi" w:hAnsiTheme="minorHAnsi"/>
          <w:sz w:val="24"/>
          <w:szCs w:val="24"/>
        </w:rPr>
      </w:pPr>
      <w:r w:rsidRPr="00853F78">
        <w:rPr>
          <w:rFonts w:asciiTheme="minorHAnsi" w:hAnsiTheme="minorHAnsi"/>
          <w:sz w:val="24"/>
          <w:szCs w:val="24"/>
        </w:rPr>
        <w:t>Only University employees (full, part-time, or student) are permitted to handle cash as defined under this policy and in accordance with the procedures outlined below.</w:t>
      </w:r>
    </w:p>
    <w:p w14:paraId="04ECC503" w14:textId="77777777" w:rsidR="00FD7477" w:rsidRPr="00853F78" w:rsidRDefault="00FD7477" w:rsidP="00BC194D">
      <w:pPr>
        <w:pStyle w:val="ListParagraph"/>
        <w:spacing w:after="0"/>
        <w:ind w:left="360"/>
        <w:rPr>
          <w:rFonts w:asciiTheme="minorHAnsi" w:hAnsiTheme="minorHAnsi"/>
          <w:sz w:val="24"/>
          <w:szCs w:val="24"/>
        </w:rPr>
      </w:pPr>
    </w:p>
    <w:p w14:paraId="0A4EB22D" w14:textId="77777777" w:rsidR="00FD7477" w:rsidRPr="00853F78" w:rsidRDefault="00907167" w:rsidP="00BC194D">
      <w:pPr>
        <w:pStyle w:val="ListParagraph"/>
        <w:numPr>
          <w:ilvl w:val="0"/>
          <w:numId w:val="33"/>
        </w:numPr>
        <w:spacing w:after="0"/>
        <w:ind w:left="360"/>
        <w:rPr>
          <w:rFonts w:asciiTheme="minorHAnsi" w:hAnsiTheme="minorHAnsi"/>
          <w:sz w:val="24"/>
          <w:szCs w:val="24"/>
        </w:rPr>
      </w:pPr>
      <w:r w:rsidRPr="00853F78">
        <w:rPr>
          <w:rFonts w:asciiTheme="minorHAnsi" w:hAnsiTheme="minorHAnsi"/>
          <w:sz w:val="24"/>
          <w:szCs w:val="24"/>
        </w:rPr>
        <w:t>The full amount of cash collected, including cash collected by departments, must be deposited with La</w:t>
      </w:r>
      <w:r w:rsidR="00675AA8">
        <w:rPr>
          <w:rFonts w:asciiTheme="minorHAnsi" w:hAnsiTheme="minorHAnsi"/>
          <w:sz w:val="24"/>
          <w:szCs w:val="24"/>
        </w:rPr>
        <w:t xml:space="preserve"> </w:t>
      </w:r>
      <w:r w:rsidRPr="00853F78">
        <w:rPr>
          <w:rFonts w:asciiTheme="minorHAnsi" w:hAnsiTheme="minorHAnsi"/>
          <w:sz w:val="24"/>
          <w:szCs w:val="24"/>
        </w:rPr>
        <w:t>Cap.  Cash collected is not to be u</w:t>
      </w:r>
      <w:r w:rsidR="00757176" w:rsidRPr="00853F78">
        <w:rPr>
          <w:rFonts w:asciiTheme="minorHAnsi" w:hAnsiTheme="minorHAnsi"/>
          <w:sz w:val="24"/>
          <w:szCs w:val="24"/>
        </w:rPr>
        <w:t>s</w:t>
      </w:r>
      <w:r w:rsidRPr="00853F78">
        <w:rPr>
          <w:rFonts w:asciiTheme="minorHAnsi" w:hAnsiTheme="minorHAnsi"/>
          <w:sz w:val="24"/>
          <w:szCs w:val="24"/>
        </w:rPr>
        <w:t xml:space="preserve">ed to make disbursements or refunds, and deductions may not be made to pay expenses.  If a department requires a petty cash fund to provide change to customers or to make small purchases, a request for a Permanent or Temporary Petty Cash may be requested from the Controller. </w:t>
      </w:r>
    </w:p>
    <w:p w14:paraId="081610AA" w14:textId="77777777" w:rsidR="00FD7477" w:rsidRPr="00853F78" w:rsidRDefault="00FD7477" w:rsidP="00BC194D">
      <w:pPr>
        <w:pStyle w:val="ListParagraph"/>
        <w:spacing w:after="0"/>
        <w:ind w:left="360"/>
        <w:rPr>
          <w:rFonts w:asciiTheme="minorHAnsi" w:hAnsiTheme="minorHAnsi"/>
          <w:sz w:val="24"/>
          <w:szCs w:val="24"/>
        </w:rPr>
      </w:pPr>
    </w:p>
    <w:p w14:paraId="5189F298" w14:textId="77777777" w:rsidR="00907167" w:rsidRPr="00853F78" w:rsidRDefault="00907167" w:rsidP="00BC194D">
      <w:pPr>
        <w:pStyle w:val="ListParagraph"/>
        <w:numPr>
          <w:ilvl w:val="0"/>
          <w:numId w:val="33"/>
        </w:numPr>
        <w:spacing w:after="0"/>
        <w:ind w:left="360"/>
        <w:rPr>
          <w:rFonts w:asciiTheme="minorHAnsi" w:hAnsiTheme="minorHAnsi"/>
          <w:sz w:val="24"/>
          <w:szCs w:val="24"/>
        </w:rPr>
      </w:pPr>
      <w:r w:rsidRPr="00853F78">
        <w:rPr>
          <w:rFonts w:asciiTheme="minorHAnsi" w:hAnsiTheme="minorHAnsi"/>
          <w:sz w:val="24"/>
          <w:szCs w:val="24"/>
        </w:rPr>
        <w:t xml:space="preserve">Access to </w:t>
      </w:r>
      <w:r w:rsidR="00757176" w:rsidRPr="00853F78">
        <w:rPr>
          <w:rFonts w:asciiTheme="minorHAnsi" w:hAnsiTheme="minorHAnsi"/>
          <w:sz w:val="24"/>
          <w:szCs w:val="24"/>
        </w:rPr>
        <w:t>cash should be restricted.  All cash, including cash collected by individual departments, must be safeguarded from fire and theft and stored in a locked safe, cabinet, or drawer depending on the amount of cash.  When possible, departments should encourage the use of check payments instead of currency.  An individual department should not accept payments by cash without prior approval of the Controller’s Office.</w:t>
      </w:r>
    </w:p>
    <w:p w14:paraId="342C8AD6" w14:textId="77777777" w:rsidR="00FD7477" w:rsidRPr="00853F78" w:rsidRDefault="00FD7477" w:rsidP="00BC194D">
      <w:pPr>
        <w:pStyle w:val="ListParagraph"/>
        <w:spacing w:after="0"/>
        <w:ind w:left="360"/>
        <w:rPr>
          <w:rFonts w:asciiTheme="minorHAnsi" w:hAnsiTheme="minorHAnsi"/>
          <w:sz w:val="24"/>
          <w:szCs w:val="24"/>
        </w:rPr>
      </w:pPr>
    </w:p>
    <w:p w14:paraId="2BD6F083" w14:textId="77777777" w:rsidR="00757176" w:rsidRPr="00853F78" w:rsidRDefault="00757176" w:rsidP="00BC194D">
      <w:pPr>
        <w:pStyle w:val="ListParagraph"/>
        <w:numPr>
          <w:ilvl w:val="0"/>
          <w:numId w:val="33"/>
        </w:numPr>
        <w:spacing w:after="0"/>
        <w:ind w:left="360"/>
        <w:rPr>
          <w:rFonts w:asciiTheme="minorHAnsi" w:hAnsiTheme="minorHAnsi"/>
          <w:sz w:val="24"/>
          <w:szCs w:val="24"/>
        </w:rPr>
      </w:pPr>
      <w:r w:rsidRPr="00853F78">
        <w:rPr>
          <w:rFonts w:asciiTheme="minorHAnsi" w:hAnsiTheme="minorHAnsi"/>
          <w:sz w:val="24"/>
          <w:szCs w:val="24"/>
        </w:rPr>
        <w:t>All checks should be made payable to “The University of Louisiana at Monroe” or “ULM”.  Checks payable to The University of Louisiana at Monroe cannot be deposited with the ULM Foundation and checks payable to the University Foundation cannot be deposited with ULM.</w:t>
      </w:r>
    </w:p>
    <w:p w14:paraId="6FD590FA" w14:textId="77777777" w:rsidR="00FD7477" w:rsidRPr="00853F78" w:rsidRDefault="00FD7477" w:rsidP="00BC194D">
      <w:pPr>
        <w:pStyle w:val="ListParagraph"/>
        <w:spacing w:after="0"/>
        <w:ind w:left="360"/>
        <w:rPr>
          <w:rFonts w:asciiTheme="minorHAnsi" w:hAnsiTheme="minorHAnsi"/>
          <w:sz w:val="24"/>
          <w:szCs w:val="24"/>
        </w:rPr>
      </w:pPr>
    </w:p>
    <w:p w14:paraId="6F27BA48" w14:textId="77777777" w:rsidR="00757176" w:rsidRPr="00853F78" w:rsidRDefault="00757176" w:rsidP="00BC194D">
      <w:pPr>
        <w:pStyle w:val="ListParagraph"/>
        <w:numPr>
          <w:ilvl w:val="0"/>
          <w:numId w:val="33"/>
        </w:numPr>
        <w:spacing w:after="0"/>
        <w:ind w:left="360"/>
        <w:rPr>
          <w:rFonts w:asciiTheme="minorHAnsi" w:hAnsiTheme="minorHAnsi"/>
          <w:sz w:val="24"/>
          <w:szCs w:val="24"/>
        </w:rPr>
      </w:pPr>
      <w:r w:rsidRPr="00853F78">
        <w:rPr>
          <w:rFonts w:asciiTheme="minorHAnsi" w:hAnsiTheme="minorHAnsi"/>
          <w:sz w:val="24"/>
          <w:szCs w:val="24"/>
        </w:rPr>
        <w:t xml:space="preserve">All bank accounts for the University must be set up by the Controller’s Office.  No employee may establish a University bank account or deposit University funds into an unauthorized bank account.  Only the President, Vice President of Business Affairs, and the Controller </w:t>
      </w:r>
      <w:r w:rsidR="008B5BBE" w:rsidRPr="00853F78">
        <w:rPr>
          <w:rFonts w:asciiTheme="minorHAnsi" w:hAnsiTheme="minorHAnsi"/>
          <w:sz w:val="24"/>
          <w:szCs w:val="24"/>
        </w:rPr>
        <w:t>can</w:t>
      </w:r>
      <w:r w:rsidRPr="00853F78">
        <w:rPr>
          <w:rFonts w:asciiTheme="minorHAnsi" w:hAnsiTheme="minorHAnsi"/>
          <w:sz w:val="24"/>
          <w:szCs w:val="24"/>
        </w:rPr>
        <w:t xml:space="preserve"> establish a University bank account.  If anyone else establishes a bank accounting using the University’s name or Tax ID number, the account will be considered an unauthorized bank account.</w:t>
      </w:r>
    </w:p>
    <w:p w14:paraId="622258E9" w14:textId="77777777" w:rsidR="00853F78" w:rsidRDefault="00853F78" w:rsidP="00853F78">
      <w:pPr>
        <w:rPr>
          <w:rFonts w:asciiTheme="minorHAnsi" w:hAnsiTheme="minorHAnsi"/>
          <w:b/>
        </w:rPr>
      </w:pPr>
    </w:p>
    <w:p w14:paraId="5AB9CD1E" w14:textId="77777777" w:rsidR="00B15D10" w:rsidRPr="00853F78" w:rsidRDefault="00B15D10" w:rsidP="00853F78">
      <w:pPr>
        <w:rPr>
          <w:rFonts w:asciiTheme="minorHAnsi" w:hAnsiTheme="minorHAnsi"/>
          <w:b/>
        </w:rPr>
      </w:pPr>
      <w:r w:rsidRPr="00853F78">
        <w:rPr>
          <w:rFonts w:asciiTheme="minorHAnsi" w:hAnsiTheme="minorHAnsi"/>
          <w:b/>
        </w:rPr>
        <w:t>Cash Collected by a Department</w:t>
      </w:r>
    </w:p>
    <w:p w14:paraId="24FED603" w14:textId="77777777" w:rsidR="00B15D10" w:rsidRPr="00853F78" w:rsidRDefault="00B15D10" w:rsidP="00BC194D">
      <w:pPr>
        <w:pStyle w:val="ListParagraph"/>
        <w:numPr>
          <w:ilvl w:val="0"/>
          <w:numId w:val="30"/>
        </w:numPr>
        <w:spacing w:before="120" w:after="0"/>
        <w:ind w:left="360"/>
        <w:rPr>
          <w:rFonts w:asciiTheme="minorHAnsi" w:hAnsiTheme="minorHAnsi"/>
          <w:sz w:val="24"/>
          <w:szCs w:val="24"/>
        </w:rPr>
      </w:pPr>
      <w:r w:rsidRPr="00853F78">
        <w:rPr>
          <w:rFonts w:asciiTheme="minorHAnsi" w:hAnsiTheme="minorHAnsi"/>
          <w:sz w:val="24"/>
          <w:szCs w:val="24"/>
        </w:rPr>
        <w:t>C</w:t>
      </w:r>
      <w:r w:rsidR="00DE4DF0" w:rsidRPr="00853F78">
        <w:rPr>
          <w:rFonts w:asciiTheme="minorHAnsi" w:hAnsiTheme="minorHAnsi"/>
          <w:sz w:val="24"/>
          <w:szCs w:val="24"/>
        </w:rPr>
        <w:t>urrency/che</w:t>
      </w:r>
      <w:r w:rsidRPr="00853F78">
        <w:rPr>
          <w:rFonts w:asciiTheme="minorHAnsi" w:hAnsiTheme="minorHAnsi"/>
          <w:sz w:val="24"/>
          <w:szCs w:val="24"/>
        </w:rPr>
        <w:t>cks received should be immediately receipted in triplicate (original for the customer, one copy for the department, and one copy to be sent to La</w:t>
      </w:r>
      <w:r w:rsidR="007E1B4E" w:rsidRPr="00853F78">
        <w:rPr>
          <w:rFonts w:asciiTheme="minorHAnsi" w:hAnsiTheme="minorHAnsi"/>
          <w:sz w:val="24"/>
          <w:szCs w:val="24"/>
        </w:rPr>
        <w:t xml:space="preserve"> </w:t>
      </w:r>
      <w:r w:rsidRPr="00853F78">
        <w:rPr>
          <w:rFonts w:asciiTheme="minorHAnsi" w:hAnsiTheme="minorHAnsi"/>
          <w:sz w:val="24"/>
          <w:szCs w:val="24"/>
        </w:rPr>
        <w:t xml:space="preserve">Cap Federal Credit Union with the deposit).  </w:t>
      </w:r>
      <w:r w:rsidR="00DE4DF0" w:rsidRPr="00853F78">
        <w:rPr>
          <w:rFonts w:asciiTheme="minorHAnsi" w:hAnsiTheme="minorHAnsi"/>
          <w:sz w:val="24"/>
          <w:szCs w:val="24"/>
        </w:rPr>
        <w:t xml:space="preserve">Checks received by the department must be recorded on a check receipt log.  The log must, at a minimum, include the following info:  the payer of the check, the check number, the check date, the amount of the check, and the date the check was received by the department.  </w:t>
      </w:r>
      <w:r w:rsidRPr="00853F78">
        <w:rPr>
          <w:rFonts w:asciiTheme="minorHAnsi" w:hAnsiTheme="minorHAnsi"/>
          <w:sz w:val="24"/>
          <w:szCs w:val="24"/>
        </w:rPr>
        <w:t>All checks and money orders should also immediately be restrictively endorsed.  An endorsement stamp may be ordered if you do not have one.  All new endorsement stamps should contain “For Deposit Only University of Louisiana Monroe” as the first line and “Department Name” as the second line.</w:t>
      </w:r>
    </w:p>
    <w:p w14:paraId="5F64E9F5" w14:textId="77777777" w:rsidR="00B15D10" w:rsidRPr="00853F78" w:rsidRDefault="00B15D10" w:rsidP="00BC194D">
      <w:pPr>
        <w:pStyle w:val="ListParagraph"/>
        <w:spacing w:after="0"/>
        <w:ind w:left="360"/>
        <w:rPr>
          <w:rFonts w:asciiTheme="minorHAnsi" w:hAnsiTheme="minorHAnsi"/>
          <w:sz w:val="24"/>
          <w:szCs w:val="24"/>
        </w:rPr>
      </w:pPr>
      <w:r w:rsidRPr="00853F78">
        <w:rPr>
          <w:rFonts w:asciiTheme="minorHAnsi" w:hAnsiTheme="minorHAnsi"/>
          <w:sz w:val="24"/>
          <w:szCs w:val="24"/>
        </w:rPr>
        <w:t xml:space="preserve">  </w:t>
      </w:r>
    </w:p>
    <w:p w14:paraId="3D705709" w14:textId="77777777" w:rsidR="00BC194D" w:rsidRDefault="00B15D10" w:rsidP="00BC194D">
      <w:pPr>
        <w:pStyle w:val="ListParagraph"/>
        <w:numPr>
          <w:ilvl w:val="0"/>
          <w:numId w:val="30"/>
        </w:numPr>
        <w:spacing w:after="0"/>
        <w:ind w:left="360"/>
        <w:rPr>
          <w:rFonts w:asciiTheme="minorHAnsi" w:hAnsiTheme="minorHAnsi"/>
          <w:sz w:val="24"/>
          <w:szCs w:val="24"/>
        </w:rPr>
      </w:pPr>
      <w:r w:rsidRPr="00853F78">
        <w:rPr>
          <w:rFonts w:asciiTheme="minorHAnsi" w:hAnsiTheme="minorHAnsi"/>
          <w:sz w:val="24"/>
          <w:szCs w:val="24"/>
        </w:rPr>
        <w:t>All cash received by the department and submitted to La</w:t>
      </w:r>
      <w:r w:rsidR="007E1B4E" w:rsidRPr="00853F78">
        <w:rPr>
          <w:rFonts w:asciiTheme="minorHAnsi" w:hAnsiTheme="minorHAnsi"/>
          <w:sz w:val="24"/>
          <w:szCs w:val="24"/>
        </w:rPr>
        <w:t xml:space="preserve"> </w:t>
      </w:r>
      <w:r w:rsidRPr="00853F78">
        <w:rPr>
          <w:rFonts w:asciiTheme="minorHAnsi" w:hAnsiTheme="minorHAnsi"/>
          <w:sz w:val="24"/>
          <w:szCs w:val="24"/>
        </w:rPr>
        <w:t xml:space="preserve">Cap requires a completed departmental deposit ticket.  The department must maintain a record of all deposit tickets.  The department must complete the name of department, date, name of person preparing the deposit, and the department telephone number located at the top of the deposit ticket.  </w:t>
      </w:r>
    </w:p>
    <w:p w14:paraId="19C7D7DA" w14:textId="77777777" w:rsidR="00BC194D" w:rsidRPr="00BC194D" w:rsidRDefault="00BC194D" w:rsidP="00BC194D">
      <w:pPr>
        <w:pStyle w:val="ListParagraph"/>
        <w:rPr>
          <w:rFonts w:asciiTheme="minorHAnsi" w:hAnsiTheme="minorHAnsi"/>
          <w:sz w:val="24"/>
          <w:szCs w:val="24"/>
        </w:rPr>
      </w:pPr>
    </w:p>
    <w:p w14:paraId="22B08909" w14:textId="77777777" w:rsidR="00BC194D" w:rsidRDefault="00B15D10" w:rsidP="00BC194D">
      <w:pPr>
        <w:pStyle w:val="ListParagraph"/>
        <w:numPr>
          <w:ilvl w:val="0"/>
          <w:numId w:val="30"/>
        </w:numPr>
        <w:spacing w:after="0"/>
        <w:ind w:left="360"/>
        <w:rPr>
          <w:rFonts w:asciiTheme="minorHAnsi" w:hAnsiTheme="minorHAnsi"/>
          <w:sz w:val="24"/>
          <w:szCs w:val="24"/>
        </w:rPr>
      </w:pPr>
      <w:r w:rsidRPr="00853F78">
        <w:rPr>
          <w:rFonts w:asciiTheme="minorHAnsi" w:hAnsiTheme="minorHAnsi"/>
          <w:sz w:val="24"/>
          <w:szCs w:val="24"/>
        </w:rPr>
        <w:lastRenderedPageBreak/>
        <w:t>To ensure proper credit, the departmental deposit ticket should include the correct University Banner fund, organization and account (or Index and account), along with a brief description of the transaction.</w:t>
      </w:r>
    </w:p>
    <w:p w14:paraId="6985D2A4" w14:textId="77777777" w:rsidR="00BC194D" w:rsidRDefault="00B15D10" w:rsidP="00BC194D">
      <w:pPr>
        <w:pStyle w:val="ListParagraph"/>
        <w:spacing w:after="0"/>
        <w:ind w:left="360"/>
        <w:rPr>
          <w:rFonts w:asciiTheme="minorHAnsi" w:hAnsiTheme="minorHAnsi"/>
          <w:sz w:val="24"/>
          <w:szCs w:val="24"/>
        </w:rPr>
      </w:pPr>
      <w:r w:rsidRPr="00853F78">
        <w:rPr>
          <w:rFonts w:asciiTheme="minorHAnsi" w:hAnsiTheme="minorHAnsi"/>
          <w:sz w:val="24"/>
          <w:szCs w:val="24"/>
        </w:rPr>
        <w:t xml:space="preserve"> </w:t>
      </w:r>
    </w:p>
    <w:p w14:paraId="4DEEDC82" w14:textId="77777777" w:rsidR="00B15D10" w:rsidRPr="00853F78" w:rsidRDefault="00B15D10" w:rsidP="00BC194D">
      <w:pPr>
        <w:pStyle w:val="ListParagraph"/>
        <w:numPr>
          <w:ilvl w:val="0"/>
          <w:numId w:val="30"/>
        </w:numPr>
        <w:spacing w:after="0"/>
        <w:ind w:left="360"/>
        <w:rPr>
          <w:rFonts w:asciiTheme="minorHAnsi" w:hAnsiTheme="minorHAnsi"/>
          <w:sz w:val="24"/>
          <w:szCs w:val="24"/>
        </w:rPr>
      </w:pPr>
      <w:r w:rsidRPr="00853F78">
        <w:rPr>
          <w:rFonts w:asciiTheme="minorHAnsi" w:hAnsiTheme="minorHAnsi"/>
          <w:sz w:val="24"/>
          <w:szCs w:val="24"/>
        </w:rPr>
        <w:t>Any questions concerning the completion of the form should be addressed to the Controller’s Office at 342-5100.</w:t>
      </w:r>
    </w:p>
    <w:p w14:paraId="5F8E3586" w14:textId="77777777" w:rsidR="00B15D10" w:rsidRPr="00853F78" w:rsidRDefault="00B15D10" w:rsidP="00BC194D">
      <w:pPr>
        <w:pStyle w:val="ListParagraph"/>
        <w:spacing w:after="0"/>
        <w:ind w:left="360"/>
        <w:rPr>
          <w:rFonts w:asciiTheme="minorHAnsi" w:hAnsiTheme="minorHAnsi"/>
          <w:sz w:val="24"/>
          <w:szCs w:val="24"/>
        </w:rPr>
      </w:pPr>
    </w:p>
    <w:p w14:paraId="6DA84EC3" w14:textId="77777777" w:rsidR="00B15D10" w:rsidRPr="00853F78" w:rsidRDefault="00B15D10" w:rsidP="00BC194D">
      <w:pPr>
        <w:pStyle w:val="ListParagraph"/>
        <w:spacing w:after="0"/>
        <w:ind w:left="360"/>
        <w:rPr>
          <w:rFonts w:asciiTheme="minorHAnsi" w:hAnsiTheme="minorHAnsi"/>
          <w:sz w:val="24"/>
          <w:szCs w:val="24"/>
        </w:rPr>
      </w:pPr>
      <w:r w:rsidRPr="00853F78">
        <w:rPr>
          <w:rFonts w:asciiTheme="minorHAnsi" w:hAnsiTheme="minorHAnsi"/>
          <w:sz w:val="24"/>
          <w:szCs w:val="24"/>
        </w:rPr>
        <w:t>The Cashier will verify that the deposit ticket total agrees with the cash received and stamp all copies of the ticket.  One copy will be returned to the department and the Cashiers will retain the original.</w:t>
      </w:r>
    </w:p>
    <w:p w14:paraId="6CE27D0F" w14:textId="77777777" w:rsidR="00B15D10" w:rsidRPr="00853F78" w:rsidRDefault="00B15D10" w:rsidP="00BC194D">
      <w:pPr>
        <w:pStyle w:val="ListParagraph"/>
        <w:spacing w:after="0"/>
        <w:ind w:left="360"/>
        <w:rPr>
          <w:rFonts w:asciiTheme="minorHAnsi" w:hAnsiTheme="minorHAnsi"/>
          <w:sz w:val="24"/>
          <w:szCs w:val="24"/>
        </w:rPr>
      </w:pPr>
    </w:p>
    <w:p w14:paraId="47E489C8" w14:textId="77777777" w:rsidR="00B15D10" w:rsidRPr="00853F78" w:rsidRDefault="00B15D10" w:rsidP="00BC194D">
      <w:pPr>
        <w:pStyle w:val="ListParagraph"/>
        <w:numPr>
          <w:ilvl w:val="0"/>
          <w:numId w:val="30"/>
        </w:numPr>
        <w:spacing w:after="0"/>
        <w:ind w:left="360"/>
        <w:rPr>
          <w:rFonts w:asciiTheme="minorHAnsi" w:hAnsiTheme="minorHAnsi"/>
          <w:sz w:val="24"/>
          <w:szCs w:val="24"/>
        </w:rPr>
      </w:pPr>
      <w:r w:rsidRPr="00853F78">
        <w:rPr>
          <w:rFonts w:asciiTheme="minorHAnsi" w:hAnsiTheme="minorHAnsi"/>
          <w:sz w:val="24"/>
          <w:szCs w:val="24"/>
        </w:rPr>
        <w:t>All cash received by departments must be supported by appropriate documentation as listed below:</w:t>
      </w:r>
    </w:p>
    <w:p w14:paraId="258695B3" w14:textId="77777777" w:rsidR="00B15D10" w:rsidRPr="00853F78" w:rsidRDefault="00B15D10" w:rsidP="00BC194D">
      <w:pPr>
        <w:pStyle w:val="ListParagraph"/>
        <w:spacing w:after="0"/>
        <w:ind w:left="360"/>
        <w:rPr>
          <w:rFonts w:asciiTheme="minorHAnsi" w:hAnsiTheme="minorHAnsi"/>
          <w:sz w:val="24"/>
          <w:szCs w:val="24"/>
        </w:rPr>
      </w:pPr>
      <w:r w:rsidRPr="00853F78">
        <w:rPr>
          <w:rFonts w:asciiTheme="minorHAnsi" w:hAnsiTheme="minorHAnsi"/>
          <w:sz w:val="24"/>
          <w:szCs w:val="24"/>
        </w:rPr>
        <w:tab/>
      </w:r>
    </w:p>
    <w:p w14:paraId="3729B7EA" w14:textId="77777777" w:rsidR="00B15D10" w:rsidRPr="00853F78" w:rsidRDefault="00B15D10" w:rsidP="00BC194D">
      <w:pPr>
        <w:pStyle w:val="ListParagraph"/>
        <w:spacing w:after="0"/>
        <w:ind w:left="360"/>
        <w:rPr>
          <w:rFonts w:asciiTheme="minorHAnsi" w:hAnsiTheme="minorHAnsi"/>
          <w:sz w:val="24"/>
          <w:szCs w:val="24"/>
        </w:rPr>
      </w:pPr>
      <w:r w:rsidRPr="00853F78">
        <w:rPr>
          <w:rFonts w:asciiTheme="minorHAnsi" w:hAnsiTheme="minorHAnsi"/>
          <w:sz w:val="24"/>
          <w:szCs w:val="24"/>
        </w:rPr>
        <w:t>All deposits must be accompanied by departmental deposits.  Credit card transactions must be supported by the individual credit card sales receipts.  Any other documents which will help to ensure the proper documentation and coding of the funds should be included with the deposit.  This supporting documentation may include a copy of the check, computer printout, supporting spreadsheet or itemized list, reconciliation, internal memorandum, or letter from the payer.</w:t>
      </w:r>
    </w:p>
    <w:p w14:paraId="56815536" w14:textId="77777777" w:rsidR="00B15D10" w:rsidRPr="00853F78" w:rsidRDefault="00B15D10" w:rsidP="00BC194D">
      <w:pPr>
        <w:pStyle w:val="ListParagraph"/>
        <w:spacing w:after="0"/>
        <w:ind w:left="360"/>
        <w:rPr>
          <w:rFonts w:asciiTheme="minorHAnsi" w:hAnsiTheme="minorHAnsi"/>
          <w:sz w:val="24"/>
          <w:szCs w:val="24"/>
        </w:rPr>
      </w:pPr>
    </w:p>
    <w:p w14:paraId="3AAEE437" w14:textId="77777777" w:rsidR="00B15D10" w:rsidRPr="00853F78" w:rsidRDefault="00B15D10" w:rsidP="00BC194D">
      <w:pPr>
        <w:pStyle w:val="ListParagraph"/>
        <w:spacing w:after="0"/>
        <w:ind w:left="360"/>
        <w:rPr>
          <w:rFonts w:asciiTheme="minorHAnsi" w:hAnsiTheme="minorHAnsi"/>
          <w:sz w:val="24"/>
          <w:szCs w:val="24"/>
        </w:rPr>
      </w:pPr>
      <w:r w:rsidRPr="00853F78">
        <w:rPr>
          <w:rFonts w:asciiTheme="minorHAnsi" w:hAnsiTheme="minorHAnsi"/>
          <w:sz w:val="24"/>
          <w:szCs w:val="24"/>
        </w:rPr>
        <w:t>The department must retain copies of supporting documentation, including any receipts issued to students or other customers.</w:t>
      </w:r>
    </w:p>
    <w:p w14:paraId="6275E586" w14:textId="77777777" w:rsidR="00B15D10" w:rsidRPr="00853F78" w:rsidRDefault="00B15D10" w:rsidP="00BC194D">
      <w:pPr>
        <w:pStyle w:val="ListParagraph"/>
        <w:spacing w:after="0"/>
        <w:ind w:left="360"/>
        <w:rPr>
          <w:rFonts w:asciiTheme="minorHAnsi" w:hAnsiTheme="minorHAnsi"/>
          <w:sz w:val="24"/>
          <w:szCs w:val="24"/>
        </w:rPr>
      </w:pPr>
    </w:p>
    <w:p w14:paraId="5FF333D3" w14:textId="77777777" w:rsidR="00B15D10" w:rsidRPr="00853F78" w:rsidRDefault="00B15D10" w:rsidP="00BC194D">
      <w:pPr>
        <w:pStyle w:val="ListParagraph"/>
        <w:numPr>
          <w:ilvl w:val="0"/>
          <w:numId w:val="30"/>
        </w:numPr>
        <w:spacing w:after="0"/>
        <w:ind w:left="360"/>
        <w:rPr>
          <w:rFonts w:asciiTheme="minorHAnsi" w:hAnsiTheme="minorHAnsi"/>
          <w:sz w:val="24"/>
          <w:szCs w:val="24"/>
        </w:rPr>
      </w:pPr>
      <w:r w:rsidRPr="00853F78">
        <w:rPr>
          <w:rFonts w:asciiTheme="minorHAnsi" w:hAnsiTheme="minorHAnsi"/>
          <w:sz w:val="24"/>
          <w:szCs w:val="24"/>
        </w:rPr>
        <w:t>When departme</w:t>
      </w:r>
      <w:r w:rsidR="00251CE6" w:rsidRPr="00853F78">
        <w:rPr>
          <w:rFonts w:asciiTheme="minorHAnsi" w:hAnsiTheme="minorHAnsi"/>
          <w:sz w:val="24"/>
          <w:szCs w:val="24"/>
        </w:rPr>
        <w:t>n</w:t>
      </w:r>
      <w:r w:rsidRPr="00853F78">
        <w:rPr>
          <w:rFonts w:asciiTheme="minorHAnsi" w:hAnsiTheme="minorHAnsi"/>
          <w:sz w:val="24"/>
          <w:szCs w:val="24"/>
        </w:rPr>
        <w:t>ts find discrepancies or have questions about their deposits, they s</w:t>
      </w:r>
      <w:r w:rsidR="00DE4DF0" w:rsidRPr="00853F78">
        <w:rPr>
          <w:rFonts w:asciiTheme="minorHAnsi" w:hAnsiTheme="minorHAnsi"/>
          <w:sz w:val="24"/>
          <w:szCs w:val="24"/>
        </w:rPr>
        <w:t>hould contact La</w:t>
      </w:r>
      <w:r w:rsidR="00675AA8">
        <w:rPr>
          <w:rFonts w:asciiTheme="minorHAnsi" w:hAnsiTheme="minorHAnsi"/>
          <w:sz w:val="24"/>
          <w:szCs w:val="24"/>
        </w:rPr>
        <w:t xml:space="preserve"> </w:t>
      </w:r>
      <w:r w:rsidR="00DE4DF0" w:rsidRPr="00853F78">
        <w:rPr>
          <w:rFonts w:asciiTheme="minorHAnsi" w:hAnsiTheme="minorHAnsi"/>
          <w:sz w:val="24"/>
          <w:szCs w:val="24"/>
        </w:rPr>
        <w:t>Cap at 342-5130 (if found the same day the deposit was made) or the Controller’s Office (if found after the date the deposit was made)</w:t>
      </w:r>
    </w:p>
    <w:p w14:paraId="1017FFF2" w14:textId="77777777" w:rsidR="00251CE6" w:rsidRPr="00853F78" w:rsidRDefault="00251CE6" w:rsidP="00BC194D">
      <w:pPr>
        <w:pStyle w:val="ListParagraph"/>
        <w:spacing w:after="0"/>
        <w:ind w:left="360"/>
        <w:rPr>
          <w:rFonts w:asciiTheme="minorHAnsi" w:hAnsiTheme="minorHAnsi"/>
          <w:sz w:val="24"/>
          <w:szCs w:val="24"/>
        </w:rPr>
      </w:pPr>
    </w:p>
    <w:p w14:paraId="03C295AC" w14:textId="77777777" w:rsidR="00B15D10" w:rsidRPr="00853F78" w:rsidRDefault="00B15D10" w:rsidP="00BC194D">
      <w:pPr>
        <w:pStyle w:val="ListParagraph"/>
        <w:numPr>
          <w:ilvl w:val="0"/>
          <w:numId w:val="30"/>
        </w:numPr>
        <w:spacing w:after="0"/>
        <w:ind w:left="360"/>
        <w:rPr>
          <w:rFonts w:asciiTheme="minorHAnsi" w:hAnsiTheme="minorHAnsi"/>
          <w:sz w:val="24"/>
          <w:szCs w:val="24"/>
        </w:rPr>
      </w:pPr>
      <w:r w:rsidRPr="00853F78">
        <w:rPr>
          <w:rFonts w:asciiTheme="minorHAnsi" w:hAnsiTheme="minorHAnsi"/>
          <w:sz w:val="24"/>
          <w:szCs w:val="24"/>
        </w:rPr>
        <w:t>A department should immediately contact the Controller, University Police, appropriate Dean or Division Head, and the Office of Internal Audit if monies are found to be missing, or if there is suspicion of theft or diversion of funds.</w:t>
      </w:r>
    </w:p>
    <w:p w14:paraId="5AF4A825" w14:textId="77777777" w:rsidR="00BC194D" w:rsidRDefault="00BC194D" w:rsidP="00853F78">
      <w:pPr>
        <w:rPr>
          <w:rFonts w:asciiTheme="minorHAnsi" w:hAnsiTheme="minorHAnsi"/>
          <w:b/>
        </w:rPr>
      </w:pPr>
    </w:p>
    <w:p w14:paraId="76E38A46" w14:textId="77777777" w:rsidR="00251CE6" w:rsidRPr="00853F78" w:rsidRDefault="00251CE6" w:rsidP="00853F78">
      <w:pPr>
        <w:rPr>
          <w:rFonts w:asciiTheme="minorHAnsi" w:hAnsiTheme="minorHAnsi"/>
          <w:b/>
        </w:rPr>
      </w:pPr>
      <w:r w:rsidRPr="00853F78">
        <w:rPr>
          <w:rFonts w:asciiTheme="minorHAnsi" w:hAnsiTheme="minorHAnsi"/>
          <w:b/>
        </w:rPr>
        <w:t>Segregation of Duties</w:t>
      </w:r>
    </w:p>
    <w:p w14:paraId="123CA2C8" w14:textId="77777777" w:rsidR="00251CE6" w:rsidRPr="00853F78" w:rsidRDefault="00251CE6" w:rsidP="00BC194D">
      <w:pPr>
        <w:pStyle w:val="ListParagraph"/>
        <w:numPr>
          <w:ilvl w:val="0"/>
          <w:numId w:val="31"/>
        </w:numPr>
        <w:spacing w:before="120" w:after="0"/>
        <w:ind w:left="360"/>
        <w:rPr>
          <w:rFonts w:asciiTheme="minorHAnsi" w:hAnsiTheme="minorHAnsi"/>
          <w:sz w:val="24"/>
          <w:szCs w:val="24"/>
        </w:rPr>
      </w:pPr>
      <w:r w:rsidRPr="00853F78">
        <w:rPr>
          <w:rFonts w:asciiTheme="minorHAnsi" w:hAnsiTheme="minorHAnsi"/>
          <w:sz w:val="24"/>
          <w:szCs w:val="24"/>
        </w:rPr>
        <w:t>Departments handling cash should separate, to the extent possible, all duties relating to cash handling.  A system of checks and balances should be established in which tasks are performed by different individuals in order to assure adequate controls.  For example, one person should prepare the deposits and a second person should review the department’s monthly ledger verifying the deposits.</w:t>
      </w:r>
    </w:p>
    <w:p w14:paraId="3B3D962B" w14:textId="77777777" w:rsidR="001B5718" w:rsidRPr="00853F78" w:rsidRDefault="001B5718" w:rsidP="00BC194D">
      <w:pPr>
        <w:pStyle w:val="ListParagraph"/>
        <w:spacing w:after="0"/>
        <w:ind w:left="360"/>
        <w:rPr>
          <w:rFonts w:asciiTheme="minorHAnsi" w:hAnsiTheme="minorHAnsi"/>
          <w:sz w:val="24"/>
          <w:szCs w:val="24"/>
        </w:rPr>
      </w:pPr>
    </w:p>
    <w:p w14:paraId="44B6BC59" w14:textId="77777777" w:rsidR="00251CE6" w:rsidRPr="00853F78" w:rsidRDefault="00251CE6" w:rsidP="00BC194D">
      <w:pPr>
        <w:pStyle w:val="ListParagraph"/>
        <w:numPr>
          <w:ilvl w:val="0"/>
          <w:numId w:val="31"/>
        </w:numPr>
        <w:spacing w:after="0"/>
        <w:ind w:left="360"/>
        <w:rPr>
          <w:rFonts w:asciiTheme="minorHAnsi" w:hAnsiTheme="minorHAnsi"/>
          <w:sz w:val="24"/>
          <w:szCs w:val="24"/>
        </w:rPr>
      </w:pPr>
      <w:r w:rsidRPr="00853F78">
        <w:rPr>
          <w:rFonts w:asciiTheme="minorHAnsi" w:hAnsiTheme="minorHAnsi"/>
          <w:sz w:val="24"/>
          <w:szCs w:val="24"/>
        </w:rPr>
        <w:t xml:space="preserve">It is the department head’s responsibility to ensure that any amount deposited with </w:t>
      </w:r>
      <w:r w:rsidR="008B5BBE" w:rsidRPr="00853F78">
        <w:rPr>
          <w:rFonts w:asciiTheme="minorHAnsi" w:hAnsiTheme="minorHAnsi"/>
          <w:sz w:val="24"/>
          <w:szCs w:val="24"/>
        </w:rPr>
        <w:t>L</w:t>
      </w:r>
      <w:r w:rsidR="00976629">
        <w:rPr>
          <w:rFonts w:asciiTheme="minorHAnsi" w:hAnsiTheme="minorHAnsi"/>
          <w:sz w:val="24"/>
          <w:szCs w:val="24"/>
        </w:rPr>
        <w:t>a</w:t>
      </w:r>
      <w:r w:rsidR="008B5BBE" w:rsidRPr="00853F78">
        <w:rPr>
          <w:rFonts w:asciiTheme="minorHAnsi" w:hAnsiTheme="minorHAnsi"/>
          <w:sz w:val="24"/>
          <w:szCs w:val="24"/>
        </w:rPr>
        <w:t xml:space="preserve"> Cap</w:t>
      </w:r>
      <w:r w:rsidRPr="00853F78">
        <w:rPr>
          <w:rFonts w:asciiTheme="minorHAnsi" w:hAnsiTheme="minorHAnsi"/>
          <w:sz w:val="24"/>
          <w:szCs w:val="24"/>
        </w:rPr>
        <w:t xml:space="preserve"> includes all monies received.</w:t>
      </w:r>
    </w:p>
    <w:p w14:paraId="31647C2C" w14:textId="77777777" w:rsidR="001B5718" w:rsidRPr="00853F78" w:rsidRDefault="001B5718" w:rsidP="00BC194D">
      <w:pPr>
        <w:pStyle w:val="ListParagraph"/>
        <w:spacing w:after="0"/>
        <w:ind w:left="360"/>
        <w:rPr>
          <w:rFonts w:asciiTheme="minorHAnsi" w:hAnsiTheme="minorHAnsi"/>
          <w:sz w:val="24"/>
          <w:szCs w:val="24"/>
        </w:rPr>
      </w:pPr>
    </w:p>
    <w:p w14:paraId="76FC75A7" w14:textId="77777777" w:rsidR="00AE4829" w:rsidRPr="00853F78" w:rsidRDefault="00251CE6" w:rsidP="00BC194D">
      <w:pPr>
        <w:pStyle w:val="ListParagraph"/>
        <w:numPr>
          <w:ilvl w:val="0"/>
          <w:numId w:val="31"/>
        </w:numPr>
        <w:spacing w:after="0"/>
        <w:ind w:left="360"/>
        <w:rPr>
          <w:rFonts w:asciiTheme="minorHAnsi" w:hAnsiTheme="minorHAnsi"/>
          <w:sz w:val="24"/>
          <w:szCs w:val="24"/>
        </w:rPr>
      </w:pPr>
      <w:r w:rsidRPr="00853F78">
        <w:rPr>
          <w:rFonts w:asciiTheme="minorHAnsi" w:hAnsiTheme="minorHAnsi"/>
          <w:sz w:val="24"/>
          <w:szCs w:val="24"/>
        </w:rPr>
        <w:t>The department head or his designee should review the department’s account on a regular basis, but not less than monthly.  The department head may access the departmental accounts and transactions online.</w:t>
      </w:r>
    </w:p>
    <w:p w14:paraId="4E3A876C" w14:textId="77777777" w:rsidR="00AE4829" w:rsidRPr="00853F78" w:rsidRDefault="00AE4829" w:rsidP="00853F78">
      <w:pPr>
        <w:pStyle w:val="ListParagraph"/>
        <w:spacing w:after="0"/>
        <w:rPr>
          <w:rFonts w:asciiTheme="minorHAnsi" w:hAnsiTheme="minorHAnsi"/>
          <w:sz w:val="24"/>
          <w:szCs w:val="24"/>
        </w:rPr>
      </w:pPr>
    </w:p>
    <w:p w14:paraId="366A0889" w14:textId="77777777" w:rsidR="00BC194D" w:rsidRDefault="00BC194D" w:rsidP="00853F78">
      <w:pPr>
        <w:rPr>
          <w:rFonts w:asciiTheme="minorHAnsi" w:hAnsiTheme="minorHAnsi"/>
          <w:b/>
        </w:rPr>
      </w:pPr>
    </w:p>
    <w:p w14:paraId="1CD6427E" w14:textId="77777777" w:rsidR="00BC194D" w:rsidRDefault="00BC194D" w:rsidP="00853F78">
      <w:pPr>
        <w:rPr>
          <w:rFonts w:asciiTheme="minorHAnsi" w:hAnsiTheme="minorHAnsi"/>
          <w:b/>
        </w:rPr>
      </w:pPr>
    </w:p>
    <w:p w14:paraId="62C1A3A1" w14:textId="77777777" w:rsidR="00907167" w:rsidRPr="00C67545" w:rsidRDefault="00AE4829" w:rsidP="00853F78">
      <w:pPr>
        <w:rPr>
          <w:rFonts w:asciiTheme="minorHAnsi" w:hAnsiTheme="minorHAnsi"/>
          <w:b/>
        </w:rPr>
      </w:pPr>
      <w:r w:rsidRPr="00C67545">
        <w:rPr>
          <w:rFonts w:asciiTheme="minorHAnsi" w:hAnsiTheme="minorHAnsi"/>
          <w:b/>
        </w:rPr>
        <w:lastRenderedPageBreak/>
        <w:t>Checks Returned by Depository Bank</w:t>
      </w:r>
    </w:p>
    <w:p w14:paraId="39AF38BF" w14:textId="77777777" w:rsidR="00AE4829" w:rsidRPr="00853F78" w:rsidRDefault="00AE4829" w:rsidP="00C67545">
      <w:pPr>
        <w:pStyle w:val="ListParagraph"/>
        <w:numPr>
          <w:ilvl w:val="0"/>
          <w:numId w:val="32"/>
        </w:numPr>
        <w:spacing w:before="120" w:after="0"/>
        <w:ind w:left="360"/>
        <w:rPr>
          <w:rFonts w:asciiTheme="minorHAnsi" w:hAnsiTheme="minorHAnsi"/>
          <w:sz w:val="24"/>
          <w:szCs w:val="24"/>
        </w:rPr>
      </w:pPr>
      <w:r w:rsidRPr="00853F78">
        <w:rPr>
          <w:rFonts w:asciiTheme="minorHAnsi" w:hAnsiTheme="minorHAnsi"/>
          <w:sz w:val="24"/>
          <w:szCs w:val="24"/>
        </w:rPr>
        <w:t>Checks returned by the depository bank for non-sufficient funds, stop payments, or closed accounts result in additional service fees to the University.  Students or staff whose checks are returned to the Controller’s Office for any of these reasons will be assessed a returned check fee as set by the Controller’s Office.  Students or staff who have several returned checks may permanently lose their check writing privileges at the University.</w:t>
      </w:r>
    </w:p>
    <w:p w14:paraId="1220C863" w14:textId="77777777" w:rsidR="00AE4829" w:rsidRPr="00853F78" w:rsidRDefault="00AE4829" w:rsidP="00C67545">
      <w:pPr>
        <w:pStyle w:val="ListParagraph"/>
        <w:spacing w:after="0"/>
        <w:ind w:left="360"/>
        <w:rPr>
          <w:rFonts w:asciiTheme="minorHAnsi" w:hAnsiTheme="minorHAnsi"/>
          <w:sz w:val="24"/>
          <w:szCs w:val="24"/>
        </w:rPr>
      </w:pPr>
    </w:p>
    <w:p w14:paraId="0EB43F02" w14:textId="77777777" w:rsidR="00635147" w:rsidRPr="00853F78" w:rsidRDefault="00AE4829" w:rsidP="00C67545">
      <w:pPr>
        <w:pStyle w:val="ListParagraph"/>
        <w:numPr>
          <w:ilvl w:val="0"/>
          <w:numId w:val="32"/>
        </w:numPr>
        <w:spacing w:after="0"/>
        <w:ind w:left="360"/>
        <w:rPr>
          <w:rFonts w:asciiTheme="minorHAnsi" w:hAnsiTheme="minorHAnsi"/>
          <w:sz w:val="24"/>
          <w:szCs w:val="24"/>
        </w:rPr>
      </w:pPr>
      <w:r w:rsidRPr="00853F78">
        <w:rPr>
          <w:rFonts w:asciiTheme="minorHAnsi" w:hAnsiTheme="minorHAnsi"/>
          <w:sz w:val="24"/>
          <w:szCs w:val="24"/>
        </w:rPr>
        <w:t>Each department is responsible, when appropriate, for collecting funds owed when checks they accepted are returned by the depository bank.</w:t>
      </w:r>
    </w:p>
    <w:p w14:paraId="33E1D651" w14:textId="77777777" w:rsidR="00635147" w:rsidRPr="00853F78" w:rsidRDefault="00635147" w:rsidP="00C67545">
      <w:pPr>
        <w:pStyle w:val="ListParagraph"/>
        <w:spacing w:after="0"/>
        <w:ind w:left="360"/>
        <w:rPr>
          <w:rFonts w:asciiTheme="minorHAnsi" w:hAnsiTheme="minorHAnsi"/>
          <w:sz w:val="24"/>
          <w:szCs w:val="24"/>
        </w:rPr>
      </w:pPr>
    </w:p>
    <w:p w14:paraId="79E7A9CE" w14:textId="77777777" w:rsidR="00635147" w:rsidRPr="00853F78" w:rsidRDefault="00635147" w:rsidP="00853F78">
      <w:pPr>
        <w:rPr>
          <w:rFonts w:asciiTheme="minorHAnsi" w:hAnsiTheme="minorHAnsi"/>
          <w:b/>
        </w:rPr>
      </w:pPr>
      <w:r w:rsidRPr="00853F78">
        <w:rPr>
          <w:rFonts w:asciiTheme="minorHAnsi" w:hAnsiTheme="minorHAnsi"/>
          <w:b/>
        </w:rPr>
        <w:t>Training</w:t>
      </w:r>
    </w:p>
    <w:p w14:paraId="476A2F82" w14:textId="77777777" w:rsidR="00675AA8" w:rsidRDefault="00DE3366" w:rsidP="007C37A8">
      <w:pPr>
        <w:pStyle w:val="ListParagraph"/>
        <w:spacing w:before="120" w:after="0"/>
        <w:ind w:left="0"/>
        <w:rPr>
          <w:rFonts w:asciiTheme="minorHAnsi" w:hAnsiTheme="minorHAnsi" w:cs="Calibri"/>
          <w:sz w:val="24"/>
          <w:szCs w:val="24"/>
        </w:rPr>
      </w:pPr>
      <w:r w:rsidRPr="00853F78">
        <w:rPr>
          <w:rFonts w:asciiTheme="minorHAnsi" w:hAnsiTheme="minorHAnsi" w:cs="Calibri"/>
          <w:sz w:val="24"/>
          <w:szCs w:val="24"/>
        </w:rPr>
        <w:t xml:space="preserve">All employees, including student workers, who handle cash are required to complete cash handling training periodically.  The departments designated as “cash collection centers” are responsible for notifying the Controller’s office of any employees, including student workers, involved in the cash handling process.  </w:t>
      </w:r>
    </w:p>
    <w:p w14:paraId="4FAD68D0" w14:textId="77777777" w:rsidR="00675AA8" w:rsidRDefault="00675AA8" w:rsidP="00C67545">
      <w:pPr>
        <w:pStyle w:val="ListParagraph"/>
        <w:spacing w:after="0"/>
        <w:ind w:left="0"/>
        <w:rPr>
          <w:rFonts w:asciiTheme="minorHAnsi" w:hAnsiTheme="minorHAnsi" w:cs="Calibri"/>
          <w:sz w:val="24"/>
          <w:szCs w:val="24"/>
        </w:rPr>
      </w:pPr>
    </w:p>
    <w:p w14:paraId="4A9AE48E" w14:textId="77777777" w:rsidR="00675AA8" w:rsidRDefault="00DE3366" w:rsidP="00C67545">
      <w:pPr>
        <w:pStyle w:val="ListParagraph"/>
        <w:spacing w:after="0"/>
        <w:ind w:left="0"/>
        <w:rPr>
          <w:rFonts w:asciiTheme="minorHAnsi" w:hAnsiTheme="minorHAnsi" w:cs="Calibri"/>
          <w:sz w:val="24"/>
          <w:szCs w:val="24"/>
        </w:rPr>
      </w:pPr>
      <w:r w:rsidRPr="00853F78">
        <w:rPr>
          <w:rFonts w:asciiTheme="minorHAnsi" w:hAnsiTheme="minorHAnsi" w:cs="Calibri"/>
          <w:sz w:val="24"/>
          <w:szCs w:val="24"/>
        </w:rPr>
        <w:t xml:space="preserve">The Controller’s office will monitor the listings and will occasionally reach out to the cash collection centers to request training be updated, especially when 1) training has not taken place over a significant period of time, or 2) changes have been made to the cash handling policy.  </w:t>
      </w:r>
    </w:p>
    <w:p w14:paraId="333EF221" w14:textId="77777777" w:rsidR="00675AA8" w:rsidRDefault="00675AA8" w:rsidP="00C67545">
      <w:pPr>
        <w:pStyle w:val="ListParagraph"/>
        <w:spacing w:after="0"/>
        <w:ind w:left="0"/>
        <w:rPr>
          <w:rFonts w:asciiTheme="minorHAnsi" w:hAnsiTheme="minorHAnsi" w:cs="Calibri"/>
          <w:sz w:val="24"/>
          <w:szCs w:val="24"/>
        </w:rPr>
      </w:pPr>
    </w:p>
    <w:p w14:paraId="10DBADF7" w14:textId="77777777" w:rsidR="00D7190D" w:rsidRPr="00853F78" w:rsidRDefault="00DE3366" w:rsidP="00C67545">
      <w:pPr>
        <w:pStyle w:val="ListParagraph"/>
        <w:spacing w:after="0"/>
        <w:ind w:left="0"/>
        <w:rPr>
          <w:rFonts w:asciiTheme="minorHAnsi" w:hAnsiTheme="minorHAnsi" w:cs="Calibri"/>
          <w:sz w:val="24"/>
          <w:szCs w:val="24"/>
        </w:rPr>
      </w:pPr>
      <w:r w:rsidRPr="00853F78">
        <w:rPr>
          <w:rFonts w:asciiTheme="minorHAnsi" w:hAnsiTheme="minorHAnsi" w:cs="Calibri"/>
          <w:sz w:val="24"/>
          <w:szCs w:val="24"/>
        </w:rPr>
        <w:t xml:space="preserve">It is the responsibility of the cash collection centers to ensure that all employees involved in the cash handling process receive training.  Training will be completed through an online training system and supporting documentation will be maintained by the Controller’s Office.  </w:t>
      </w:r>
    </w:p>
    <w:p w14:paraId="56AD8544" w14:textId="77777777" w:rsidR="00D7190D" w:rsidRPr="00853F78" w:rsidRDefault="00D7190D" w:rsidP="00853F78">
      <w:pPr>
        <w:pStyle w:val="ListParagraph"/>
        <w:spacing w:after="0"/>
        <w:rPr>
          <w:rFonts w:asciiTheme="minorHAnsi" w:hAnsiTheme="minorHAnsi" w:cs="Calibri"/>
          <w:sz w:val="24"/>
          <w:szCs w:val="24"/>
        </w:rPr>
      </w:pPr>
    </w:p>
    <w:p w14:paraId="59DE65CE" w14:textId="77777777" w:rsidR="00D7190D" w:rsidRPr="00C67545" w:rsidRDefault="00D7190D" w:rsidP="00C67545">
      <w:pPr>
        <w:pStyle w:val="ListParagraph"/>
        <w:spacing w:after="0"/>
        <w:ind w:left="0"/>
        <w:rPr>
          <w:rFonts w:asciiTheme="minorHAnsi" w:hAnsiTheme="minorHAnsi" w:cs="Calibri"/>
          <w:b/>
          <w:sz w:val="24"/>
          <w:szCs w:val="24"/>
        </w:rPr>
      </w:pPr>
      <w:r w:rsidRPr="00C67545">
        <w:rPr>
          <w:rFonts w:asciiTheme="minorHAnsi" w:hAnsiTheme="minorHAnsi" w:cs="Calibri"/>
          <w:b/>
          <w:sz w:val="24"/>
          <w:szCs w:val="24"/>
        </w:rPr>
        <w:t>Cash/Check Handling Procedures – Summary</w:t>
      </w:r>
    </w:p>
    <w:p w14:paraId="43F48373" w14:textId="77777777" w:rsidR="00D7190D" w:rsidRPr="00853F78" w:rsidRDefault="00D7190D" w:rsidP="00C67545">
      <w:pPr>
        <w:pStyle w:val="ListParagraph"/>
        <w:numPr>
          <w:ilvl w:val="0"/>
          <w:numId w:val="34"/>
        </w:numPr>
        <w:spacing w:before="120" w:after="0"/>
        <w:ind w:left="360"/>
        <w:rPr>
          <w:rFonts w:asciiTheme="minorHAnsi" w:hAnsiTheme="minorHAnsi" w:cs="Calibri"/>
          <w:sz w:val="24"/>
          <w:szCs w:val="24"/>
        </w:rPr>
      </w:pPr>
      <w:r w:rsidRPr="00853F78">
        <w:rPr>
          <w:rFonts w:asciiTheme="minorHAnsi" w:hAnsiTheme="minorHAnsi" w:cs="Calibri"/>
          <w:sz w:val="24"/>
          <w:szCs w:val="24"/>
        </w:rPr>
        <w:t>Cash/checks received should be immediately receipted in triplicate (original for the customer, one copy for the department, and on coy to be sent to La</w:t>
      </w:r>
      <w:r w:rsidR="00976629">
        <w:rPr>
          <w:rFonts w:asciiTheme="minorHAnsi" w:hAnsiTheme="minorHAnsi" w:cs="Calibri"/>
          <w:sz w:val="24"/>
          <w:szCs w:val="24"/>
        </w:rPr>
        <w:t xml:space="preserve"> </w:t>
      </w:r>
      <w:r w:rsidRPr="00853F78">
        <w:rPr>
          <w:rFonts w:asciiTheme="minorHAnsi" w:hAnsiTheme="minorHAnsi" w:cs="Calibri"/>
          <w:sz w:val="24"/>
          <w:szCs w:val="24"/>
        </w:rPr>
        <w:t>Cap with the deposit).</w:t>
      </w:r>
    </w:p>
    <w:p w14:paraId="1663B709" w14:textId="77777777" w:rsidR="00D7190D" w:rsidRPr="00853F78" w:rsidRDefault="00D7190D" w:rsidP="00C67545">
      <w:pPr>
        <w:pStyle w:val="ListParagraph"/>
        <w:numPr>
          <w:ilvl w:val="0"/>
          <w:numId w:val="34"/>
        </w:numPr>
        <w:spacing w:before="120" w:after="0"/>
        <w:ind w:left="360"/>
        <w:rPr>
          <w:rFonts w:asciiTheme="minorHAnsi" w:hAnsiTheme="minorHAnsi" w:cs="Calibri"/>
          <w:sz w:val="24"/>
          <w:szCs w:val="24"/>
        </w:rPr>
      </w:pPr>
      <w:r w:rsidRPr="00853F78">
        <w:rPr>
          <w:rFonts w:asciiTheme="minorHAnsi" w:hAnsiTheme="minorHAnsi" w:cs="Calibri"/>
          <w:sz w:val="24"/>
          <w:szCs w:val="24"/>
        </w:rPr>
        <w:t>If check, it should be endorsed.</w:t>
      </w:r>
    </w:p>
    <w:p w14:paraId="0A718919" w14:textId="77777777" w:rsidR="00D7190D" w:rsidRPr="00853F78" w:rsidRDefault="00D7190D" w:rsidP="00C67545">
      <w:pPr>
        <w:pStyle w:val="ListParagraph"/>
        <w:numPr>
          <w:ilvl w:val="0"/>
          <w:numId w:val="34"/>
        </w:numPr>
        <w:spacing w:before="120" w:after="0"/>
        <w:ind w:left="360"/>
        <w:rPr>
          <w:rFonts w:asciiTheme="minorHAnsi" w:hAnsiTheme="minorHAnsi" w:cs="Calibri"/>
          <w:sz w:val="24"/>
          <w:szCs w:val="24"/>
        </w:rPr>
      </w:pPr>
      <w:r w:rsidRPr="00853F78">
        <w:rPr>
          <w:rFonts w:asciiTheme="minorHAnsi" w:hAnsiTheme="minorHAnsi" w:cs="Calibri"/>
          <w:sz w:val="24"/>
          <w:szCs w:val="24"/>
        </w:rPr>
        <w:t>Cash and checks must be stored in a safe or other secure place until deposited with La Cap.</w:t>
      </w:r>
    </w:p>
    <w:p w14:paraId="40A539BB" w14:textId="77777777" w:rsidR="00D7190D" w:rsidRPr="00853F78" w:rsidRDefault="00D7190D" w:rsidP="00C67545">
      <w:pPr>
        <w:pStyle w:val="ListParagraph"/>
        <w:numPr>
          <w:ilvl w:val="0"/>
          <w:numId w:val="34"/>
        </w:numPr>
        <w:spacing w:before="120" w:after="0"/>
        <w:ind w:left="360"/>
        <w:rPr>
          <w:rFonts w:asciiTheme="minorHAnsi" w:hAnsiTheme="minorHAnsi" w:cs="Calibri"/>
          <w:sz w:val="24"/>
          <w:szCs w:val="24"/>
        </w:rPr>
      </w:pPr>
      <w:r w:rsidRPr="00853F78">
        <w:rPr>
          <w:rFonts w:asciiTheme="minorHAnsi" w:hAnsiTheme="minorHAnsi" w:cs="Calibri"/>
          <w:sz w:val="24"/>
          <w:szCs w:val="24"/>
        </w:rPr>
        <w:t>Deposits must be sent to La Cap on a timely basis.</w:t>
      </w:r>
    </w:p>
    <w:p w14:paraId="1DA496DF" w14:textId="77777777" w:rsidR="00D7190D" w:rsidRPr="00853F78" w:rsidRDefault="00D7190D" w:rsidP="00C67545">
      <w:pPr>
        <w:pStyle w:val="ListParagraph"/>
        <w:numPr>
          <w:ilvl w:val="0"/>
          <w:numId w:val="34"/>
        </w:numPr>
        <w:spacing w:before="120" w:after="0"/>
        <w:ind w:left="360"/>
        <w:rPr>
          <w:rFonts w:asciiTheme="minorHAnsi" w:hAnsiTheme="minorHAnsi" w:cs="Calibri"/>
          <w:sz w:val="24"/>
          <w:szCs w:val="24"/>
        </w:rPr>
      </w:pPr>
      <w:r w:rsidRPr="00853F78">
        <w:rPr>
          <w:rFonts w:asciiTheme="minorHAnsi" w:hAnsiTheme="minorHAnsi" w:cs="Calibri"/>
          <w:sz w:val="24"/>
          <w:szCs w:val="24"/>
        </w:rPr>
        <w:t>If receipt needs to be voided, the supervisor of the employee receiving the money should authorize the void (should also retain the customer’s copy when voiding a receipt).  Voided receipts should be sent to La Cap with the next deposit.</w:t>
      </w:r>
    </w:p>
    <w:p w14:paraId="4E3CBDFB" w14:textId="77777777" w:rsidR="00D7190D" w:rsidRPr="00853F78" w:rsidRDefault="00D7190D" w:rsidP="00C67545">
      <w:pPr>
        <w:pStyle w:val="ListParagraph"/>
        <w:numPr>
          <w:ilvl w:val="0"/>
          <w:numId w:val="34"/>
        </w:numPr>
        <w:spacing w:before="120" w:after="0"/>
        <w:ind w:left="360"/>
        <w:rPr>
          <w:rFonts w:asciiTheme="minorHAnsi" w:hAnsiTheme="minorHAnsi" w:cs="Calibri"/>
          <w:sz w:val="24"/>
          <w:szCs w:val="24"/>
        </w:rPr>
      </w:pPr>
      <w:r w:rsidRPr="00853F78">
        <w:rPr>
          <w:rFonts w:asciiTheme="minorHAnsi" w:hAnsiTheme="minorHAnsi" w:cs="Calibri"/>
          <w:sz w:val="24"/>
          <w:szCs w:val="24"/>
        </w:rPr>
        <w:t>Employee collecting the funds should balance funds to receipts.</w:t>
      </w:r>
    </w:p>
    <w:p w14:paraId="0B511F47" w14:textId="77777777" w:rsidR="00D7190D" w:rsidRPr="00853F78" w:rsidRDefault="00D7190D" w:rsidP="00C67545">
      <w:pPr>
        <w:pStyle w:val="ListParagraph"/>
        <w:numPr>
          <w:ilvl w:val="0"/>
          <w:numId w:val="34"/>
        </w:numPr>
        <w:spacing w:before="120" w:after="0"/>
        <w:ind w:left="360"/>
        <w:rPr>
          <w:rFonts w:asciiTheme="minorHAnsi" w:hAnsiTheme="minorHAnsi" w:cs="Calibri"/>
          <w:sz w:val="24"/>
          <w:szCs w:val="24"/>
        </w:rPr>
      </w:pPr>
      <w:r w:rsidRPr="00853F78">
        <w:rPr>
          <w:rFonts w:asciiTheme="minorHAnsi" w:hAnsiTheme="minorHAnsi" w:cs="Calibri"/>
          <w:sz w:val="24"/>
          <w:szCs w:val="24"/>
        </w:rPr>
        <w:t>Another employee, typically the supervisor, should verify the funds.</w:t>
      </w:r>
    </w:p>
    <w:p w14:paraId="42299925" w14:textId="77777777" w:rsidR="00D7190D" w:rsidRPr="00853F78" w:rsidRDefault="00D7190D" w:rsidP="00C67545">
      <w:pPr>
        <w:pStyle w:val="ListParagraph"/>
        <w:numPr>
          <w:ilvl w:val="0"/>
          <w:numId w:val="34"/>
        </w:numPr>
        <w:spacing w:before="120" w:after="0"/>
        <w:ind w:left="360"/>
        <w:rPr>
          <w:rFonts w:asciiTheme="minorHAnsi" w:hAnsiTheme="minorHAnsi" w:cs="Calibri"/>
          <w:sz w:val="24"/>
          <w:szCs w:val="24"/>
        </w:rPr>
      </w:pPr>
      <w:r w:rsidRPr="00853F78">
        <w:rPr>
          <w:rFonts w:asciiTheme="minorHAnsi" w:hAnsiTheme="minorHAnsi" w:cs="Calibri"/>
          <w:sz w:val="24"/>
          <w:szCs w:val="24"/>
        </w:rPr>
        <w:t>Once deposit is made with La Cap, the receipt should be matched with the department’s copy of the deposit slip.</w:t>
      </w:r>
    </w:p>
    <w:p w14:paraId="50E4FCAD" w14:textId="77777777" w:rsidR="00D7190D" w:rsidRPr="00853F78" w:rsidRDefault="00D7190D" w:rsidP="00C67545">
      <w:pPr>
        <w:pStyle w:val="ListParagraph"/>
        <w:numPr>
          <w:ilvl w:val="0"/>
          <w:numId w:val="34"/>
        </w:numPr>
        <w:spacing w:before="120" w:after="0"/>
        <w:ind w:left="360"/>
        <w:rPr>
          <w:rFonts w:asciiTheme="minorHAnsi" w:hAnsiTheme="minorHAnsi" w:cs="Calibri"/>
          <w:sz w:val="24"/>
          <w:szCs w:val="24"/>
        </w:rPr>
      </w:pPr>
      <w:r w:rsidRPr="00853F78">
        <w:rPr>
          <w:rFonts w:asciiTheme="minorHAnsi" w:hAnsiTheme="minorHAnsi" w:cs="Calibri"/>
          <w:sz w:val="24"/>
          <w:szCs w:val="24"/>
        </w:rPr>
        <w:t>The deposit should then be verified/reconciled to the Banner System (to be sure the funds were properly recorded).</w:t>
      </w:r>
    </w:p>
    <w:p w14:paraId="7BBE69B0" w14:textId="77777777" w:rsidR="00D7190D" w:rsidRPr="00853F78" w:rsidRDefault="00D7190D" w:rsidP="00C67545">
      <w:pPr>
        <w:pStyle w:val="ListParagraph"/>
        <w:numPr>
          <w:ilvl w:val="0"/>
          <w:numId w:val="34"/>
        </w:numPr>
        <w:spacing w:before="120" w:after="0"/>
        <w:ind w:left="360"/>
        <w:rPr>
          <w:rFonts w:asciiTheme="minorHAnsi" w:hAnsiTheme="minorHAnsi" w:cs="Calibri"/>
          <w:sz w:val="24"/>
          <w:szCs w:val="24"/>
        </w:rPr>
      </w:pPr>
      <w:r w:rsidRPr="00853F78">
        <w:rPr>
          <w:rFonts w:asciiTheme="minorHAnsi" w:hAnsiTheme="minorHAnsi" w:cs="Calibri"/>
          <w:sz w:val="24"/>
          <w:szCs w:val="24"/>
        </w:rPr>
        <w:t>If for some reason the deposit does not agree with the Banner system, contact the Controller’s Office so that a correction can be made.</w:t>
      </w:r>
    </w:p>
    <w:p w14:paraId="52E973E8" w14:textId="77777777" w:rsidR="00AE4829" w:rsidRPr="00853F78" w:rsidRDefault="00AE4829" w:rsidP="00AE4829">
      <w:pPr>
        <w:pStyle w:val="ListParagraph"/>
        <w:rPr>
          <w:rFonts w:asciiTheme="minorHAnsi" w:hAnsiTheme="minorHAnsi"/>
          <w:sz w:val="24"/>
          <w:szCs w:val="24"/>
        </w:rPr>
      </w:pPr>
    </w:p>
    <w:p w14:paraId="61106591" w14:textId="77777777" w:rsidR="009C60B1" w:rsidRPr="00853F78" w:rsidRDefault="009C60B1" w:rsidP="00EB28CB">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5" w:name="_VI._Enforcement"/>
      <w:bookmarkEnd w:id="5"/>
      <w:r w:rsidRPr="00853F78">
        <w:rPr>
          <w:rFonts w:asciiTheme="minorHAnsi" w:hAnsiTheme="minorHAnsi"/>
        </w:rPr>
        <w:tab/>
        <w:t>Enforcement</w:t>
      </w:r>
    </w:p>
    <w:p w14:paraId="4D156728" w14:textId="77777777" w:rsidR="009C60B1" w:rsidRPr="00853F78" w:rsidRDefault="00C542F1" w:rsidP="000D1A7A">
      <w:pPr>
        <w:spacing w:before="160" w:after="240"/>
        <w:rPr>
          <w:rFonts w:asciiTheme="minorHAnsi" w:hAnsiTheme="minorHAnsi"/>
        </w:rPr>
      </w:pPr>
      <w:r w:rsidRPr="00853F78">
        <w:rPr>
          <w:rFonts w:asciiTheme="minorHAnsi" w:hAnsiTheme="minorHAnsi"/>
        </w:rPr>
        <w:t xml:space="preserve">The Vice President </w:t>
      </w:r>
      <w:r w:rsidR="00675AA8">
        <w:rPr>
          <w:rFonts w:asciiTheme="minorHAnsi" w:hAnsiTheme="minorHAnsi"/>
        </w:rPr>
        <w:t>for</w:t>
      </w:r>
      <w:r w:rsidRPr="00853F78">
        <w:rPr>
          <w:rFonts w:asciiTheme="minorHAnsi" w:hAnsiTheme="minorHAnsi"/>
        </w:rPr>
        <w:t xml:space="preserve"> Business Affairs</w:t>
      </w:r>
      <w:r w:rsidR="00960199" w:rsidRPr="00853F78">
        <w:rPr>
          <w:rFonts w:asciiTheme="minorHAnsi" w:hAnsiTheme="minorHAnsi"/>
        </w:rPr>
        <w:t xml:space="preserve"> is responsible for enforcement of the policy</w:t>
      </w:r>
      <w:r w:rsidRPr="00853F78">
        <w:rPr>
          <w:rFonts w:asciiTheme="minorHAnsi" w:hAnsiTheme="minorHAnsi"/>
        </w:rPr>
        <w:t>.</w:t>
      </w:r>
      <w:r w:rsidR="00DE3366" w:rsidRPr="00853F78">
        <w:rPr>
          <w:rFonts w:asciiTheme="minorHAnsi" w:hAnsiTheme="minorHAnsi"/>
        </w:rPr>
        <w:t xml:space="preserve">  </w:t>
      </w:r>
    </w:p>
    <w:p w14:paraId="4923508F" w14:textId="77777777" w:rsidR="009C60B1" w:rsidRPr="00853F78" w:rsidRDefault="009C60B1" w:rsidP="00EB28CB">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6" w:name="_VII._Policy_Management"/>
      <w:bookmarkEnd w:id="6"/>
      <w:r w:rsidRPr="00853F78">
        <w:rPr>
          <w:rFonts w:asciiTheme="minorHAnsi" w:hAnsiTheme="minorHAnsi"/>
        </w:rPr>
        <w:lastRenderedPageBreak/>
        <w:tab/>
        <w:t>Policy Management</w:t>
      </w:r>
    </w:p>
    <w:p w14:paraId="6AD64E6B" w14:textId="77777777" w:rsidR="009C60B1" w:rsidRPr="00853F78" w:rsidRDefault="00F85479" w:rsidP="000D1A7A">
      <w:pPr>
        <w:spacing w:before="160" w:after="240"/>
        <w:rPr>
          <w:rFonts w:asciiTheme="minorHAnsi" w:hAnsiTheme="minorHAnsi"/>
        </w:rPr>
      </w:pPr>
      <w:r w:rsidRPr="00853F78">
        <w:rPr>
          <w:rFonts w:asciiTheme="minorHAnsi" w:hAnsiTheme="minorHAnsi"/>
        </w:rPr>
        <w:t xml:space="preserve">Upon adoption, the Vice President </w:t>
      </w:r>
      <w:r w:rsidR="00675AA8">
        <w:rPr>
          <w:rFonts w:asciiTheme="minorHAnsi" w:hAnsiTheme="minorHAnsi"/>
        </w:rPr>
        <w:t>for</w:t>
      </w:r>
      <w:r w:rsidRPr="00853F78">
        <w:rPr>
          <w:rFonts w:asciiTheme="minorHAnsi" w:hAnsiTheme="minorHAnsi"/>
        </w:rPr>
        <w:t xml:space="preserve"> Business Affairs shall be the Responsible Executive for the management of this Policy.  </w:t>
      </w:r>
      <w:r w:rsidR="00FD7477" w:rsidRPr="00853F78">
        <w:rPr>
          <w:rFonts w:asciiTheme="minorHAnsi" w:hAnsiTheme="minorHAnsi"/>
        </w:rPr>
        <w:t>The responsible officer is the Controller and the Office of the Controller is the office that is responsible for implementing and administering the policy</w:t>
      </w:r>
      <w:r w:rsidR="00C542F1" w:rsidRPr="00853F78">
        <w:rPr>
          <w:rFonts w:asciiTheme="minorHAnsi" w:hAnsiTheme="minorHAnsi"/>
        </w:rPr>
        <w:t>.</w:t>
      </w:r>
    </w:p>
    <w:p w14:paraId="3A8B6239" w14:textId="77777777" w:rsidR="009C60B1" w:rsidRPr="00853F78" w:rsidRDefault="009C60B1" w:rsidP="00EB28CB">
      <w:pPr>
        <w:pStyle w:val="Heading3"/>
        <w:numPr>
          <w:ilvl w:val="0"/>
          <w:numId w:val="42"/>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7" w:name="_VIII._Exclusions"/>
      <w:bookmarkEnd w:id="7"/>
      <w:r w:rsidRPr="00853F78">
        <w:rPr>
          <w:rFonts w:asciiTheme="minorHAnsi" w:hAnsiTheme="minorHAnsi"/>
        </w:rPr>
        <w:tab/>
        <w:t>Exclusions</w:t>
      </w:r>
    </w:p>
    <w:p w14:paraId="1043E838" w14:textId="77777777" w:rsidR="005949FB" w:rsidRPr="00853F78" w:rsidRDefault="009C60B1" w:rsidP="00C542F1">
      <w:pPr>
        <w:spacing w:before="160" w:after="240"/>
        <w:rPr>
          <w:rFonts w:asciiTheme="minorHAnsi" w:hAnsiTheme="minorHAnsi"/>
        </w:rPr>
      </w:pPr>
      <w:r w:rsidRPr="00853F78">
        <w:rPr>
          <w:rFonts w:asciiTheme="minorHAnsi" w:hAnsiTheme="minorHAnsi"/>
        </w:rPr>
        <w:t xml:space="preserve">Any </w:t>
      </w:r>
      <w:r w:rsidR="00C542F1" w:rsidRPr="00853F78">
        <w:rPr>
          <w:rFonts w:asciiTheme="minorHAnsi" w:hAnsiTheme="minorHAnsi"/>
        </w:rPr>
        <w:t>unusual circumstances or special projects not fully covered under this policy should be addressed to the Controller’s Office.</w:t>
      </w:r>
    </w:p>
    <w:p w14:paraId="18307913" w14:textId="77777777" w:rsidR="009C60B1" w:rsidRPr="00853F78" w:rsidRDefault="009C60B1" w:rsidP="00EB28CB">
      <w:pPr>
        <w:pStyle w:val="Heading3"/>
        <w:numPr>
          <w:ilvl w:val="0"/>
          <w:numId w:val="43"/>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8" w:name="_IX._Effective_Date"/>
      <w:bookmarkEnd w:id="8"/>
      <w:r w:rsidRPr="00853F78">
        <w:rPr>
          <w:rFonts w:asciiTheme="minorHAnsi" w:hAnsiTheme="minorHAnsi"/>
        </w:rPr>
        <w:tab/>
        <w:t>Effective Date</w:t>
      </w:r>
    </w:p>
    <w:p w14:paraId="16A18162" w14:textId="77777777" w:rsidR="005949FB" w:rsidRPr="00853F78" w:rsidRDefault="00C542F1" w:rsidP="00C542F1">
      <w:pPr>
        <w:spacing w:before="160" w:after="240"/>
        <w:rPr>
          <w:rFonts w:asciiTheme="minorHAnsi" w:hAnsiTheme="minorHAnsi"/>
        </w:rPr>
      </w:pPr>
      <w:r w:rsidRPr="00853F78">
        <w:rPr>
          <w:rFonts w:asciiTheme="minorHAnsi" w:hAnsiTheme="minorHAnsi"/>
        </w:rPr>
        <w:t>This policy will be in effect upon the date it is adopted and signed by the</w:t>
      </w:r>
      <w:r w:rsidR="00675AA8">
        <w:rPr>
          <w:rFonts w:asciiTheme="minorHAnsi" w:hAnsiTheme="minorHAnsi"/>
        </w:rPr>
        <w:t xml:space="preserve"> V</w:t>
      </w:r>
      <w:r w:rsidRPr="00853F78">
        <w:rPr>
          <w:rFonts w:asciiTheme="minorHAnsi" w:hAnsiTheme="minorHAnsi"/>
        </w:rPr>
        <w:t>ice President for Business Affairs and approved by the Cash Management and Review Board.</w:t>
      </w:r>
    </w:p>
    <w:p w14:paraId="4CED37E9" w14:textId="77777777" w:rsidR="009C60B1" w:rsidRPr="00853F78" w:rsidRDefault="009C60B1" w:rsidP="00EB28CB">
      <w:pPr>
        <w:pStyle w:val="Heading3"/>
        <w:numPr>
          <w:ilvl w:val="0"/>
          <w:numId w:val="44"/>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9" w:name="_X._Adoption_Date"/>
      <w:bookmarkEnd w:id="9"/>
      <w:r w:rsidRPr="00853F78">
        <w:rPr>
          <w:rFonts w:asciiTheme="minorHAnsi" w:hAnsiTheme="minorHAnsi"/>
        </w:rPr>
        <w:tab/>
        <w:t xml:space="preserve">Adoption </w:t>
      </w:r>
    </w:p>
    <w:p w14:paraId="4386BF09" w14:textId="77777777" w:rsidR="009C60B1" w:rsidRPr="00853F78" w:rsidRDefault="005949FB" w:rsidP="000D1A7A">
      <w:pPr>
        <w:tabs>
          <w:tab w:val="left" w:pos="720"/>
        </w:tabs>
        <w:spacing w:before="160" w:after="240"/>
        <w:rPr>
          <w:rFonts w:asciiTheme="minorHAnsi" w:hAnsiTheme="minorHAnsi"/>
        </w:rPr>
      </w:pPr>
      <w:r w:rsidRPr="00853F78">
        <w:rPr>
          <w:rFonts w:asciiTheme="minorHAnsi" w:hAnsiTheme="minorHAnsi"/>
        </w:rPr>
        <w:t xml:space="preserve">This policy is hereby adopted on this </w:t>
      </w:r>
      <w:r w:rsidR="0059104B">
        <w:rPr>
          <w:rFonts w:asciiTheme="minorHAnsi" w:hAnsiTheme="minorHAnsi"/>
        </w:rPr>
        <w:t>30</w:t>
      </w:r>
      <w:proofErr w:type="gramStart"/>
      <w:r w:rsidR="0059104B" w:rsidRPr="0059104B">
        <w:rPr>
          <w:rFonts w:asciiTheme="minorHAnsi" w:hAnsiTheme="minorHAnsi"/>
          <w:vertAlign w:val="superscript"/>
        </w:rPr>
        <w:t>th</w:t>
      </w:r>
      <w:r w:rsidR="0059104B">
        <w:rPr>
          <w:rFonts w:asciiTheme="minorHAnsi" w:hAnsiTheme="minorHAnsi"/>
        </w:rPr>
        <w:t xml:space="preserve"> </w:t>
      </w:r>
      <w:r w:rsidRPr="00853F78">
        <w:rPr>
          <w:rFonts w:asciiTheme="minorHAnsi" w:hAnsiTheme="minorHAnsi"/>
        </w:rPr>
        <w:t xml:space="preserve"> day</w:t>
      </w:r>
      <w:proofErr w:type="gramEnd"/>
      <w:r w:rsidRPr="00853F78">
        <w:rPr>
          <w:rFonts w:asciiTheme="minorHAnsi" w:hAnsiTheme="minorHAnsi"/>
        </w:rPr>
        <w:t xml:space="preserve"> of </w:t>
      </w:r>
      <w:r w:rsidR="0059104B">
        <w:rPr>
          <w:rFonts w:asciiTheme="minorHAnsi" w:hAnsiTheme="minorHAnsi"/>
        </w:rPr>
        <w:t>September</w:t>
      </w:r>
      <w:r w:rsidRPr="00853F78">
        <w:rPr>
          <w:rFonts w:asciiTheme="minorHAnsi" w:hAnsiTheme="minorHAnsi"/>
        </w:rPr>
        <w:t xml:space="preserve"> 20</w:t>
      </w:r>
      <w:r w:rsidR="0059104B">
        <w:rPr>
          <w:rFonts w:asciiTheme="minorHAnsi" w:hAnsiTheme="minorHAnsi"/>
        </w:rPr>
        <w:t>19</w:t>
      </w:r>
      <w:r w:rsidRPr="00853F78">
        <w:rPr>
          <w:rFonts w:asciiTheme="minorHAnsi" w:hAnsiTheme="minorHAnsi"/>
        </w:rPr>
        <w:t>.</w:t>
      </w:r>
    </w:p>
    <w:p w14:paraId="235B8A7F" w14:textId="77777777" w:rsidR="005949FB" w:rsidRPr="00853F78" w:rsidRDefault="00BE39A5" w:rsidP="000D1A7A">
      <w:pPr>
        <w:tabs>
          <w:tab w:val="left" w:pos="720"/>
        </w:tabs>
        <w:spacing w:after="240"/>
        <w:rPr>
          <w:rFonts w:asciiTheme="minorHAnsi" w:hAnsiTheme="minorHAnsi"/>
        </w:rPr>
      </w:pPr>
      <w:r w:rsidRPr="00BE39A5">
        <w:rPr>
          <w:rFonts w:asciiTheme="minorHAnsi" w:hAnsiTheme="minorHAnsi"/>
          <w:noProof/>
        </w:rPr>
        <w:drawing>
          <wp:anchor distT="0" distB="0" distL="114300" distR="114300" simplePos="0" relativeHeight="251658241" behindDoc="0" locked="0" layoutInCell="1" allowOverlap="1" wp14:anchorId="2F71BD44" wp14:editId="34D4A7F7">
            <wp:simplePos x="0" y="0"/>
            <wp:positionH relativeFrom="column">
              <wp:posOffset>3781425</wp:posOffset>
            </wp:positionH>
            <wp:positionV relativeFrom="paragraph">
              <wp:posOffset>75565</wp:posOffset>
            </wp:positionV>
            <wp:extent cx="2314575" cy="490145"/>
            <wp:effectExtent l="0" t="0" r="0" b="5715"/>
            <wp:wrapNone/>
            <wp:docPr id="1" name="Picture 1" descr="Dr. Bill Grav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Bill Grave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4575" cy="490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DCF5E5" w14:textId="77777777" w:rsidR="00675AA8" w:rsidRDefault="000D1A7A" w:rsidP="00675AA8">
      <w:pPr>
        <w:jc w:val="right"/>
        <w:rPr>
          <w:rFonts w:asciiTheme="minorHAnsi" w:hAnsiTheme="minorHAnsi"/>
        </w:rPr>
      </w:pPr>
      <w:r w:rsidRPr="00853F78">
        <w:rPr>
          <w:rFonts w:asciiTheme="minorHAnsi" w:hAnsiTheme="minorHAnsi"/>
        </w:rPr>
        <w:tab/>
      </w:r>
      <w:r w:rsidRPr="00853F78">
        <w:rPr>
          <w:rFonts w:asciiTheme="minorHAnsi" w:hAnsiTheme="minorHAnsi"/>
        </w:rPr>
        <w:tab/>
      </w:r>
      <w:r w:rsidRPr="00853F78">
        <w:rPr>
          <w:rFonts w:asciiTheme="minorHAnsi" w:hAnsiTheme="minorHAnsi"/>
        </w:rPr>
        <w:tab/>
      </w:r>
      <w:r w:rsidRPr="00853F78">
        <w:rPr>
          <w:rFonts w:asciiTheme="minorHAnsi" w:hAnsiTheme="minorHAnsi"/>
        </w:rPr>
        <w:tab/>
      </w:r>
      <w:r w:rsidRPr="00853F78">
        <w:rPr>
          <w:rFonts w:asciiTheme="minorHAnsi" w:hAnsiTheme="minorHAnsi"/>
        </w:rPr>
        <w:tab/>
      </w:r>
      <w:r w:rsidRPr="00853F78">
        <w:rPr>
          <w:rFonts w:asciiTheme="minorHAnsi" w:hAnsiTheme="minorHAnsi"/>
        </w:rPr>
        <w:tab/>
      </w:r>
      <w:r w:rsidRPr="00853F78">
        <w:rPr>
          <w:rFonts w:asciiTheme="minorHAnsi" w:hAnsiTheme="minorHAnsi"/>
        </w:rPr>
        <w:tab/>
      </w:r>
      <w:r w:rsidR="00250C30">
        <w:rPr>
          <w:rFonts w:asciiTheme="minorHAnsi" w:hAnsiTheme="minorHAnsi"/>
        </w:rPr>
        <w:t>_____</w:t>
      </w:r>
      <w:r w:rsidR="00675AA8">
        <w:rPr>
          <w:rFonts w:asciiTheme="minorHAnsi" w:hAnsiTheme="minorHAnsi"/>
        </w:rPr>
        <w:t>_____</w:t>
      </w:r>
      <w:r w:rsidRPr="00853F78">
        <w:rPr>
          <w:rFonts w:asciiTheme="minorHAnsi" w:hAnsiTheme="minorHAnsi"/>
        </w:rPr>
        <w:t>______</w:t>
      </w:r>
      <w:r w:rsidR="00550156" w:rsidRPr="00853F78">
        <w:rPr>
          <w:rFonts w:asciiTheme="minorHAnsi" w:hAnsiTheme="minorHAnsi"/>
        </w:rPr>
        <w:t>________________________</w:t>
      </w:r>
    </w:p>
    <w:p w14:paraId="7CD1F7CD" w14:textId="77777777" w:rsidR="00550156" w:rsidRPr="00675AA8" w:rsidRDefault="00675AA8" w:rsidP="00675AA8">
      <w:pPr>
        <w:spacing w:after="240"/>
        <w:jc w:val="right"/>
        <w:rPr>
          <w:rFonts w:asciiTheme="minorHAnsi" w:hAnsiTheme="minorHAnsi"/>
        </w:rPr>
      </w:pPr>
      <w:r>
        <w:rPr>
          <w:rFonts w:asciiTheme="minorHAnsi" w:hAnsiTheme="minorHAnsi"/>
        </w:rPr>
        <w:t>Dr. Bill Graves, Vice President for Business Affairs</w:t>
      </w:r>
    </w:p>
    <w:p w14:paraId="1E1C7AB8" w14:textId="77777777" w:rsidR="00B34DF6" w:rsidRPr="00853F78" w:rsidRDefault="00B34DF6" w:rsidP="00EB28CB">
      <w:pPr>
        <w:pStyle w:val="Heading3"/>
        <w:numPr>
          <w:ilvl w:val="0"/>
          <w:numId w:val="45"/>
        </w:numPr>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10" w:name="_XI._References_and"/>
      <w:bookmarkStart w:id="11" w:name="_XI._Appendices,_References"/>
      <w:bookmarkEnd w:id="10"/>
      <w:bookmarkEnd w:id="11"/>
      <w:r w:rsidRPr="00853F78">
        <w:rPr>
          <w:rFonts w:asciiTheme="minorHAnsi" w:hAnsiTheme="minorHAnsi"/>
        </w:rPr>
        <w:tab/>
      </w:r>
      <w:r w:rsidR="00DC6236" w:rsidRPr="00853F78">
        <w:rPr>
          <w:rFonts w:asciiTheme="minorHAnsi" w:hAnsiTheme="minorHAnsi"/>
        </w:rPr>
        <w:t xml:space="preserve">Appendices, </w:t>
      </w:r>
      <w:r w:rsidR="008B5DDB" w:rsidRPr="00853F78">
        <w:rPr>
          <w:rFonts w:asciiTheme="minorHAnsi" w:hAnsiTheme="minorHAnsi"/>
        </w:rPr>
        <w:t>References and Related Materials</w:t>
      </w:r>
    </w:p>
    <w:p w14:paraId="459CB970" w14:textId="77777777" w:rsidR="00C542F1" w:rsidRPr="00853F78" w:rsidRDefault="00C542F1" w:rsidP="00675AA8">
      <w:pPr>
        <w:spacing w:before="120"/>
        <w:rPr>
          <w:rFonts w:asciiTheme="minorHAnsi" w:hAnsiTheme="minorHAnsi"/>
        </w:rPr>
      </w:pPr>
      <w:r w:rsidRPr="00853F78">
        <w:rPr>
          <w:rFonts w:asciiTheme="minorHAnsi" w:hAnsiTheme="minorHAnsi"/>
        </w:rPr>
        <w:t>Temporary Petty Cash Form</w:t>
      </w:r>
    </w:p>
    <w:p w14:paraId="2882DA4D" w14:textId="77777777" w:rsidR="00DE4DF0" w:rsidRPr="00853F78" w:rsidRDefault="00DE4DF0" w:rsidP="00CB7641">
      <w:pPr>
        <w:spacing w:before="120" w:after="240"/>
        <w:rPr>
          <w:rFonts w:asciiTheme="minorHAnsi" w:hAnsiTheme="minorHAnsi"/>
        </w:rPr>
      </w:pPr>
      <w:r w:rsidRPr="00853F78">
        <w:rPr>
          <w:rFonts w:asciiTheme="minorHAnsi" w:hAnsiTheme="minorHAnsi"/>
        </w:rPr>
        <w:t>Check Receipt Log Template</w:t>
      </w:r>
    </w:p>
    <w:p w14:paraId="3EFD82EE" w14:textId="77777777" w:rsidR="00DC6236" w:rsidRPr="00853F78" w:rsidRDefault="00DC6236" w:rsidP="00EB28CB">
      <w:pPr>
        <w:pStyle w:val="Heading3"/>
        <w:numPr>
          <w:ilvl w:val="0"/>
          <w:numId w:val="46"/>
        </w:numPr>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left" w:pos="2760"/>
        </w:tabs>
        <w:rPr>
          <w:rFonts w:asciiTheme="minorHAnsi" w:hAnsiTheme="minorHAnsi"/>
        </w:rPr>
      </w:pPr>
      <w:bookmarkStart w:id="12" w:name="_XII._Revision_History"/>
      <w:bookmarkEnd w:id="12"/>
      <w:r w:rsidRPr="00853F78">
        <w:rPr>
          <w:rFonts w:asciiTheme="minorHAnsi" w:hAnsiTheme="minorHAnsi"/>
        </w:rPr>
        <w:tab/>
        <w:t>Revision History</w:t>
      </w:r>
      <w:r w:rsidR="00892246" w:rsidRPr="00853F78">
        <w:rPr>
          <w:rFonts w:asciiTheme="minorHAnsi" w:hAnsiTheme="minorHAnsi"/>
        </w:rPr>
        <w:tab/>
      </w:r>
    </w:p>
    <w:p w14:paraId="1E94BED4" w14:textId="77777777" w:rsidR="00675AA8" w:rsidRPr="00CB7641" w:rsidRDefault="00675AA8" w:rsidP="00675AA8">
      <w:pPr>
        <w:spacing w:before="120" w:after="240"/>
        <w:rPr>
          <w:rFonts w:asciiTheme="minorHAnsi" w:hAnsiTheme="minorHAnsi"/>
        </w:rPr>
      </w:pPr>
      <w:r w:rsidRPr="00CB7641">
        <w:rPr>
          <w:rFonts w:asciiTheme="minorHAnsi" w:hAnsiTheme="minorHAnsi"/>
        </w:rPr>
        <w:t>Origina</w:t>
      </w:r>
      <w:r w:rsidR="00BC4BD2">
        <w:rPr>
          <w:rFonts w:asciiTheme="minorHAnsi" w:hAnsiTheme="minorHAnsi"/>
        </w:rPr>
        <w:t>l Adoption Date:  Interim Policy Adopted on May 23, 2018</w:t>
      </w:r>
    </w:p>
    <w:p w14:paraId="4B6980BD" w14:textId="77777777" w:rsidR="00675AA8" w:rsidRPr="00CB7641" w:rsidRDefault="00675AA8" w:rsidP="00675AA8">
      <w:pPr>
        <w:spacing w:before="120" w:after="240"/>
        <w:rPr>
          <w:rFonts w:asciiTheme="minorHAnsi" w:hAnsiTheme="minorHAnsi"/>
        </w:rPr>
      </w:pPr>
      <w:r w:rsidRPr="00CB7641">
        <w:rPr>
          <w:rFonts w:asciiTheme="minorHAnsi" w:hAnsiTheme="minorHAnsi"/>
        </w:rPr>
        <w:t xml:space="preserve">Revised </w:t>
      </w:r>
      <w:r w:rsidR="00BC4BD2">
        <w:rPr>
          <w:rFonts w:asciiTheme="minorHAnsi" w:hAnsiTheme="minorHAnsi"/>
        </w:rPr>
        <w:t>September 30</w:t>
      </w:r>
      <w:r w:rsidRPr="00CB7641">
        <w:rPr>
          <w:rFonts w:asciiTheme="minorHAnsi" w:hAnsiTheme="minorHAnsi"/>
        </w:rPr>
        <w:t xml:space="preserve">, 2019:  Revisions include formatting into the new policy </w:t>
      </w:r>
      <w:proofErr w:type="gramStart"/>
      <w:r w:rsidRPr="00CB7641">
        <w:rPr>
          <w:rFonts w:asciiTheme="minorHAnsi" w:hAnsiTheme="minorHAnsi"/>
        </w:rPr>
        <w:t>template</w:t>
      </w:r>
      <w:r w:rsidR="00CB7641" w:rsidRPr="00CB7641">
        <w:rPr>
          <w:rFonts w:asciiTheme="minorHAnsi" w:hAnsiTheme="minorHAnsi"/>
        </w:rPr>
        <w:t xml:space="preserve">, </w:t>
      </w:r>
      <w:r w:rsidR="00CB7641" w:rsidRPr="00CB7641">
        <w:rPr>
          <w:rFonts w:asciiTheme="minorHAnsi" w:hAnsiTheme="minorHAnsi"/>
          <w:color w:val="201F1E"/>
          <w:shd w:val="clear" w:color="auto" w:fill="FFFFFF"/>
        </w:rPr>
        <w:t> the</w:t>
      </w:r>
      <w:proofErr w:type="gramEnd"/>
      <w:r w:rsidR="00CB7641" w:rsidRPr="00CB7641">
        <w:rPr>
          <w:rFonts w:asciiTheme="minorHAnsi" w:hAnsiTheme="minorHAnsi"/>
          <w:color w:val="201F1E"/>
          <w:shd w:val="clear" w:color="auto" w:fill="FFFFFF"/>
        </w:rPr>
        <w:t xml:space="preserve"> removal of the term “next business day” and replacing it with the term “timely”. Addition of a check log and addition of a training section.</w:t>
      </w:r>
    </w:p>
    <w:sectPr w:rsidR="00675AA8" w:rsidRPr="00CB7641" w:rsidSect="007A5E15">
      <w:headerReference w:type="default" r:id="rId13"/>
      <w:footerReference w:type="default" r:id="rId14"/>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8A63" w14:textId="77777777" w:rsidR="00581AEE" w:rsidRDefault="00581AEE">
      <w:r>
        <w:separator/>
      </w:r>
    </w:p>
  </w:endnote>
  <w:endnote w:type="continuationSeparator" w:id="0">
    <w:p w14:paraId="2FB5B445" w14:textId="77777777" w:rsidR="00581AEE" w:rsidRDefault="00581AEE">
      <w:r>
        <w:continuationSeparator/>
      </w:r>
    </w:p>
  </w:endnote>
  <w:endnote w:type="continuationNotice" w:id="1">
    <w:p w14:paraId="4AAF20F0" w14:textId="77777777" w:rsidR="00581AEE" w:rsidRDefault="00581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48F282A2" w14:textId="77777777" w:rsidR="00D7190D" w:rsidRPr="00B93AFE" w:rsidRDefault="0053292C" w:rsidP="002A45EB">
            <w:pPr>
              <w:pStyle w:val="NoSpacing"/>
              <w:rPr>
                <w:rFonts w:asciiTheme="minorHAnsi" w:hAnsiTheme="minorHAnsi"/>
                <w:bCs/>
              </w:rPr>
            </w:pPr>
            <w:r>
              <w:rPr>
                <w:rFonts w:asciiTheme="minorHAnsi" w:hAnsiTheme="minorHAnsi"/>
              </w:rPr>
              <w:t xml:space="preserve">Cash Handling Policy </w:t>
            </w:r>
            <w:r w:rsidR="00D7190D" w:rsidRPr="00B93AFE">
              <w:rPr>
                <w:rFonts w:asciiTheme="minorHAnsi" w:hAnsiTheme="minorHAnsi"/>
              </w:rPr>
              <w:t xml:space="preserve">                                                                                                     </w:t>
            </w:r>
            <w:r w:rsidR="00D7190D">
              <w:rPr>
                <w:rFonts w:asciiTheme="minorHAnsi" w:hAnsiTheme="minorHAnsi"/>
              </w:rPr>
              <w:t xml:space="preserve"> </w:t>
            </w:r>
            <w:r w:rsidR="00D7190D" w:rsidRPr="00B93AFE">
              <w:rPr>
                <w:rFonts w:asciiTheme="minorHAnsi" w:hAnsiTheme="minorHAnsi"/>
              </w:rPr>
              <w:t xml:space="preserve">                         Page </w:t>
            </w:r>
            <w:r w:rsidR="00D7190D" w:rsidRPr="00B93AFE">
              <w:rPr>
                <w:rFonts w:asciiTheme="minorHAnsi" w:hAnsiTheme="minorHAnsi"/>
                <w:bCs/>
              </w:rPr>
              <w:fldChar w:fldCharType="begin"/>
            </w:r>
            <w:r w:rsidR="00D7190D" w:rsidRPr="00B93AFE">
              <w:rPr>
                <w:rFonts w:asciiTheme="minorHAnsi" w:hAnsiTheme="minorHAnsi"/>
                <w:bCs/>
              </w:rPr>
              <w:instrText xml:space="preserve"> PAGE </w:instrText>
            </w:r>
            <w:r w:rsidR="00D7190D" w:rsidRPr="00B93AFE">
              <w:rPr>
                <w:rFonts w:asciiTheme="minorHAnsi" w:hAnsiTheme="minorHAnsi"/>
                <w:bCs/>
              </w:rPr>
              <w:fldChar w:fldCharType="separate"/>
            </w:r>
            <w:r w:rsidR="00250C30">
              <w:rPr>
                <w:rFonts w:asciiTheme="minorHAnsi" w:hAnsiTheme="minorHAnsi"/>
                <w:bCs/>
                <w:noProof/>
              </w:rPr>
              <w:t>5</w:t>
            </w:r>
            <w:r w:rsidR="00D7190D" w:rsidRPr="00B93AFE">
              <w:rPr>
                <w:rFonts w:asciiTheme="minorHAnsi" w:hAnsiTheme="minorHAnsi"/>
                <w:bCs/>
              </w:rPr>
              <w:fldChar w:fldCharType="end"/>
            </w:r>
            <w:r w:rsidR="00D7190D" w:rsidRPr="00B93AFE">
              <w:rPr>
                <w:rFonts w:asciiTheme="minorHAnsi" w:hAnsiTheme="minorHAnsi"/>
              </w:rPr>
              <w:t xml:space="preserve"> of </w:t>
            </w:r>
            <w:r w:rsidR="00D7190D" w:rsidRPr="00B93AFE">
              <w:rPr>
                <w:rFonts w:asciiTheme="minorHAnsi" w:hAnsiTheme="minorHAnsi"/>
                <w:bCs/>
              </w:rPr>
              <w:fldChar w:fldCharType="begin"/>
            </w:r>
            <w:r w:rsidR="00D7190D" w:rsidRPr="00B93AFE">
              <w:rPr>
                <w:rFonts w:asciiTheme="minorHAnsi" w:hAnsiTheme="minorHAnsi"/>
                <w:bCs/>
              </w:rPr>
              <w:instrText xml:space="preserve"> NUMPAGES  </w:instrText>
            </w:r>
            <w:r w:rsidR="00D7190D" w:rsidRPr="00B93AFE">
              <w:rPr>
                <w:rFonts w:asciiTheme="minorHAnsi" w:hAnsiTheme="minorHAnsi"/>
                <w:bCs/>
              </w:rPr>
              <w:fldChar w:fldCharType="separate"/>
            </w:r>
            <w:r w:rsidR="00250C30">
              <w:rPr>
                <w:rFonts w:asciiTheme="minorHAnsi" w:hAnsiTheme="minorHAnsi"/>
                <w:bCs/>
                <w:noProof/>
              </w:rPr>
              <w:t>5</w:t>
            </w:r>
            <w:r w:rsidR="00D7190D" w:rsidRPr="00B93AFE">
              <w:rPr>
                <w:rFonts w:asciiTheme="minorHAnsi" w:hAnsiTheme="minorHAnsi"/>
                <w:bCs/>
              </w:rPr>
              <w:fldChar w:fldCharType="end"/>
            </w:r>
          </w:p>
          <w:p w14:paraId="1A8A6ED9" w14:textId="77777777" w:rsidR="00D7190D" w:rsidRPr="00B93AFE" w:rsidRDefault="0053292C" w:rsidP="002A45EB">
            <w:pPr>
              <w:pStyle w:val="NoSpacing"/>
              <w:rPr>
                <w:rFonts w:asciiTheme="minorHAnsi" w:hAnsiTheme="minorHAnsi"/>
                <w:bCs/>
              </w:rPr>
            </w:pPr>
            <w:r>
              <w:rPr>
                <w:rFonts w:asciiTheme="minorHAnsi" w:hAnsiTheme="minorHAnsi"/>
                <w:bCs/>
              </w:rPr>
              <w:t>CO</w:t>
            </w:r>
            <w:r w:rsidR="00D7190D" w:rsidRPr="00B93AFE">
              <w:rPr>
                <w:rFonts w:asciiTheme="minorHAnsi" w:hAnsiTheme="minorHAnsi"/>
                <w:bCs/>
              </w:rPr>
              <w:t>00</w:t>
            </w:r>
            <w:r>
              <w:rPr>
                <w:rFonts w:asciiTheme="minorHAnsi" w:hAnsiTheme="minorHAnsi"/>
                <w:bCs/>
              </w:rPr>
              <w:t>2</w:t>
            </w:r>
            <w:r w:rsidR="00D7190D" w:rsidRPr="00B93AFE">
              <w:rPr>
                <w:rFonts w:asciiTheme="minorHAnsi" w:hAnsiTheme="minorHAnsi"/>
                <w:bCs/>
              </w:rPr>
              <w:t xml:space="preserve">.1 – </w:t>
            </w:r>
            <w:r w:rsidR="00896E07">
              <w:rPr>
                <w:rFonts w:asciiTheme="minorHAnsi" w:hAnsiTheme="minorHAnsi"/>
                <w:bCs/>
              </w:rPr>
              <w:t>September 30</w:t>
            </w:r>
            <w:r>
              <w:rPr>
                <w:rFonts w:asciiTheme="minorHAnsi" w:hAnsiTheme="minorHAnsi"/>
                <w:bCs/>
              </w:rPr>
              <w:t>, 2019</w:t>
            </w:r>
          </w:p>
          <w:p w14:paraId="4BCB472F" w14:textId="77777777" w:rsidR="00D7190D" w:rsidRPr="00B93AFE" w:rsidRDefault="00D7190D" w:rsidP="007A3387">
            <w:pPr>
              <w:pStyle w:val="NoSpacing"/>
              <w:rPr>
                <w:rFonts w:asciiTheme="minorHAnsi" w:hAnsiTheme="minorHAnsi"/>
                <w:bCs/>
                <w:sz w:val="20"/>
                <w:szCs w:val="20"/>
              </w:rPr>
            </w:pPr>
            <w:r>
              <w:rPr>
                <w:rFonts w:asciiTheme="minorHAnsi" w:hAnsiTheme="minorHAnsi"/>
                <w:bCs/>
                <w:sz w:val="22"/>
                <w:szCs w:val="22"/>
              </w:rPr>
              <w:t xml:space="preserve">                                                                                                                                                                                 </w:t>
            </w:r>
            <w:r>
              <w:rPr>
                <w:rFonts w:asciiTheme="minorHAnsi" w:hAnsiTheme="minorHAnsi"/>
                <w:bCs/>
                <w:color w:val="A6A6A6" w:themeColor="background1" w:themeShade="A6"/>
                <w:sz w:val="20"/>
                <w:szCs w:val="20"/>
              </w:rPr>
              <w:t>Rev. 5/2</w:t>
            </w:r>
            <w:r w:rsidRPr="002A45EB">
              <w:rPr>
                <w:rFonts w:asciiTheme="minorHAnsi" w:hAnsiTheme="minorHAnsi"/>
                <w:bCs/>
                <w:color w:val="A6A6A6" w:themeColor="background1" w:themeShade="A6"/>
                <w:sz w:val="20"/>
                <w:szCs w:val="20"/>
              </w:rPr>
              <w:t>/201</w:t>
            </w:r>
            <w:r>
              <w:rPr>
                <w:rFonts w:asciiTheme="minorHAnsi" w:hAnsiTheme="minorHAnsi"/>
                <w:bCs/>
                <w:color w:val="A6A6A6" w:themeColor="background1" w:themeShade="A6"/>
                <w:sz w:val="20"/>
                <w:szCs w:val="20"/>
              </w:rPr>
              <w:t>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6905" w14:textId="77777777" w:rsidR="00581AEE" w:rsidRDefault="00581AEE">
      <w:r>
        <w:separator/>
      </w:r>
    </w:p>
  </w:footnote>
  <w:footnote w:type="continuationSeparator" w:id="0">
    <w:p w14:paraId="32A3AB9D" w14:textId="77777777" w:rsidR="00581AEE" w:rsidRDefault="00581AEE">
      <w:r>
        <w:continuationSeparator/>
      </w:r>
    </w:p>
  </w:footnote>
  <w:footnote w:type="continuationNotice" w:id="1">
    <w:p w14:paraId="0B3FFC39" w14:textId="77777777" w:rsidR="00581AEE" w:rsidRDefault="00581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4C86" w14:textId="77777777" w:rsidR="00D7190D" w:rsidRDefault="00D71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45.75pt;height:51pt" o:bullet="t">
        <v:imagedata r:id="rId1" o:title="UL Fleur de Lis"/>
      </v:shape>
    </w:pict>
  </w:numPicBullet>
  <w:abstractNum w:abstractNumId="0" w15:restartNumberingAfterBreak="0">
    <w:nsid w:val="025C3F78"/>
    <w:multiLevelType w:val="hybridMultilevel"/>
    <w:tmpl w:val="0806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4819"/>
    <w:multiLevelType w:val="multilevel"/>
    <w:tmpl w:val="7274349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0068A"/>
    <w:multiLevelType w:val="multilevel"/>
    <w:tmpl w:val="235281D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E415D5"/>
    <w:multiLevelType w:val="multilevel"/>
    <w:tmpl w:val="5EBEFDB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A41013E"/>
    <w:multiLevelType w:val="multilevel"/>
    <w:tmpl w:val="CF9ABF2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8D7173"/>
    <w:multiLevelType w:val="multilevel"/>
    <w:tmpl w:val="1458CD7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1F083C"/>
    <w:multiLevelType w:val="hybridMultilevel"/>
    <w:tmpl w:val="27CAF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07214F"/>
    <w:multiLevelType w:val="multilevel"/>
    <w:tmpl w:val="32FEA62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C6AD9"/>
    <w:multiLevelType w:val="multilevel"/>
    <w:tmpl w:val="B48028C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3F2D"/>
    <w:multiLevelType w:val="multilevel"/>
    <w:tmpl w:val="A2006D6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15:restartNumberingAfterBreak="0">
    <w:nsid w:val="339D5933"/>
    <w:multiLevelType w:val="hybridMultilevel"/>
    <w:tmpl w:val="82D0E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54FB4"/>
    <w:multiLevelType w:val="multilevel"/>
    <w:tmpl w:val="EFEE37A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54FF6"/>
    <w:multiLevelType w:val="multilevel"/>
    <w:tmpl w:val="9A02AD3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3AF923F2"/>
    <w:multiLevelType w:val="hybridMultilevel"/>
    <w:tmpl w:val="5BF8A76E"/>
    <w:lvl w:ilvl="0" w:tplc="73ECB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3"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5FA4217"/>
    <w:multiLevelType w:val="hybridMultilevel"/>
    <w:tmpl w:val="9A22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21A61"/>
    <w:multiLevelType w:val="hybridMultilevel"/>
    <w:tmpl w:val="0DE8D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D1D7D"/>
    <w:multiLevelType w:val="multilevel"/>
    <w:tmpl w:val="18BC6CE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2"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E777A7B"/>
    <w:multiLevelType w:val="multilevel"/>
    <w:tmpl w:val="44D6249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24"/>
  </w:num>
  <w:num w:numId="3">
    <w:abstractNumId w:val="30"/>
  </w:num>
  <w:num w:numId="4">
    <w:abstractNumId w:val="4"/>
  </w:num>
  <w:num w:numId="5">
    <w:abstractNumId w:val="31"/>
  </w:num>
  <w:num w:numId="6">
    <w:abstractNumId w:val="43"/>
  </w:num>
  <w:num w:numId="7">
    <w:abstractNumId w:val="38"/>
  </w:num>
  <w:num w:numId="8">
    <w:abstractNumId w:val="44"/>
  </w:num>
  <w:num w:numId="9">
    <w:abstractNumId w:val="42"/>
  </w:num>
  <w:num w:numId="10">
    <w:abstractNumId w:val="40"/>
  </w:num>
  <w:num w:numId="11">
    <w:abstractNumId w:val="10"/>
  </w:num>
  <w:num w:numId="12">
    <w:abstractNumId w:val="20"/>
  </w:num>
  <w:num w:numId="13">
    <w:abstractNumId w:val="22"/>
  </w:num>
  <w:num w:numId="14">
    <w:abstractNumId w:val="41"/>
  </w:num>
  <w:num w:numId="15">
    <w:abstractNumId w:val="16"/>
  </w:num>
  <w:num w:numId="16">
    <w:abstractNumId w:val="12"/>
  </w:num>
  <w:num w:numId="17">
    <w:abstractNumId w:val="32"/>
  </w:num>
  <w:num w:numId="18">
    <w:abstractNumId w:val="35"/>
  </w:num>
  <w:num w:numId="19">
    <w:abstractNumId w:val="27"/>
  </w:num>
  <w:num w:numId="20">
    <w:abstractNumId w:val="28"/>
  </w:num>
  <w:num w:numId="21">
    <w:abstractNumId w:val="37"/>
  </w:num>
  <w:num w:numId="22">
    <w:abstractNumId w:val="33"/>
  </w:num>
  <w:num w:numId="23">
    <w:abstractNumId w:val="34"/>
  </w:num>
  <w:num w:numId="24">
    <w:abstractNumId w:val="9"/>
  </w:num>
  <w:num w:numId="25">
    <w:abstractNumId w:val="23"/>
  </w:num>
  <w:num w:numId="26">
    <w:abstractNumId w:val="14"/>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0"/>
  </w:num>
  <w:num w:numId="30">
    <w:abstractNumId w:val="17"/>
  </w:num>
  <w:num w:numId="31">
    <w:abstractNumId w:val="25"/>
  </w:num>
  <w:num w:numId="32">
    <w:abstractNumId w:val="8"/>
  </w:num>
  <w:num w:numId="33">
    <w:abstractNumId w:val="26"/>
  </w:num>
  <w:num w:numId="34">
    <w:abstractNumId w:val="21"/>
  </w:num>
  <w:num w:numId="35">
    <w:abstractNumId w:val="15"/>
  </w:num>
  <w:num w:numId="36">
    <w:abstractNumId w:val="3"/>
  </w:num>
  <w:num w:numId="37">
    <w:abstractNumId w:val="7"/>
  </w:num>
  <w:num w:numId="38">
    <w:abstractNumId w:val="45"/>
  </w:num>
  <w:num w:numId="39">
    <w:abstractNumId w:val="1"/>
  </w:num>
  <w:num w:numId="40">
    <w:abstractNumId w:val="5"/>
  </w:num>
  <w:num w:numId="41">
    <w:abstractNumId w:val="2"/>
  </w:num>
  <w:num w:numId="42">
    <w:abstractNumId w:val="13"/>
  </w:num>
  <w:num w:numId="43">
    <w:abstractNumId w:val="18"/>
  </w:num>
  <w:num w:numId="44">
    <w:abstractNumId w:val="19"/>
  </w:num>
  <w:num w:numId="45">
    <w:abstractNumId w:val="11"/>
  </w:num>
  <w:num w:numId="46">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42gK91I/wa6BTpR5+nyQ7+Uij54UWOIPFO2njGJk4xBFgwIkwKi0ZXNWpF7LqTR0q800kJYAqitOsPVUSwhJHw==" w:salt="ZRI3eGS1+egjTvXMnQe5XA=="/>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344EE"/>
    <w:rsid w:val="00040919"/>
    <w:rsid w:val="00044A15"/>
    <w:rsid w:val="0005141E"/>
    <w:rsid w:val="00054B39"/>
    <w:rsid w:val="0005755E"/>
    <w:rsid w:val="000742D7"/>
    <w:rsid w:val="0007444A"/>
    <w:rsid w:val="00082507"/>
    <w:rsid w:val="00083CF2"/>
    <w:rsid w:val="00092240"/>
    <w:rsid w:val="000930B2"/>
    <w:rsid w:val="000943A4"/>
    <w:rsid w:val="000A3284"/>
    <w:rsid w:val="000A3D1C"/>
    <w:rsid w:val="000A4CA0"/>
    <w:rsid w:val="000A65C4"/>
    <w:rsid w:val="000B635F"/>
    <w:rsid w:val="000C5385"/>
    <w:rsid w:val="000C6DA9"/>
    <w:rsid w:val="000C7BB9"/>
    <w:rsid w:val="000D0AE8"/>
    <w:rsid w:val="000D1961"/>
    <w:rsid w:val="000D1A7A"/>
    <w:rsid w:val="000D5D19"/>
    <w:rsid w:val="000D7D7D"/>
    <w:rsid w:val="000E3C13"/>
    <w:rsid w:val="000E4A6E"/>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63022"/>
    <w:rsid w:val="00177101"/>
    <w:rsid w:val="00177645"/>
    <w:rsid w:val="00177858"/>
    <w:rsid w:val="0018269B"/>
    <w:rsid w:val="00183BC8"/>
    <w:rsid w:val="00185764"/>
    <w:rsid w:val="00186A15"/>
    <w:rsid w:val="001B16F9"/>
    <w:rsid w:val="001B5718"/>
    <w:rsid w:val="001C25FB"/>
    <w:rsid w:val="001D0A03"/>
    <w:rsid w:val="001D1467"/>
    <w:rsid w:val="001D24F2"/>
    <w:rsid w:val="001D60B6"/>
    <w:rsid w:val="001E3743"/>
    <w:rsid w:val="001E3D23"/>
    <w:rsid w:val="001F7025"/>
    <w:rsid w:val="001F768C"/>
    <w:rsid w:val="002005A9"/>
    <w:rsid w:val="0020179A"/>
    <w:rsid w:val="00205E69"/>
    <w:rsid w:val="00207393"/>
    <w:rsid w:val="00207D8A"/>
    <w:rsid w:val="00210D23"/>
    <w:rsid w:val="0023788F"/>
    <w:rsid w:val="00243922"/>
    <w:rsid w:val="00244D52"/>
    <w:rsid w:val="00250C30"/>
    <w:rsid w:val="00251CE6"/>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D396B"/>
    <w:rsid w:val="002D5A2B"/>
    <w:rsid w:val="002E365A"/>
    <w:rsid w:val="002E59E6"/>
    <w:rsid w:val="002F0375"/>
    <w:rsid w:val="00301BD1"/>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82BF7"/>
    <w:rsid w:val="004A24F1"/>
    <w:rsid w:val="004A33CF"/>
    <w:rsid w:val="004B4765"/>
    <w:rsid w:val="004B4D96"/>
    <w:rsid w:val="004C15AB"/>
    <w:rsid w:val="004C1BE5"/>
    <w:rsid w:val="004C7EFB"/>
    <w:rsid w:val="004D0576"/>
    <w:rsid w:val="004D2A86"/>
    <w:rsid w:val="004D4262"/>
    <w:rsid w:val="004E14ED"/>
    <w:rsid w:val="004E2569"/>
    <w:rsid w:val="004E3FD8"/>
    <w:rsid w:val="004E5BA4"/>
    <w:rsid w:val="004F42FB"/>
    <w:rsid w:val="004F63EC"/>
    <w:rsid w:val="00500584"/>
    <w:rsid w:val="00502DFD"/>
    <w:rsid w:val="00527A75"/>
    <w:rsid w:val="0053292C"/>
    <w:rsid w:val="00532AA9"/>
    <w:rsid w:val="00542B5E"/>
    <w:rsid w:val="00545D1C"/>
    <w:rsid w:val="00546DC0"/>
    <w:rsid w:val="00550156"/>
    <w:rsid w:val="005520C8"/>
    <w:rsid w:val="00560CC3"/>
    <w:rsid w:val="005763C1"/>
    <w:rsid w:val="00581AEE"/>
    <w:rsid w:val="0059104B"/>
    <w:rsid w:val="00591F81"/>
    <w:rsid w:val="005949FB"/>
    <w:rsid w:val="00597A37"/>
    <w:rsid w:val="005A3A3C"/>
    <w:rsid w:val="005A497D"/>
    <w:rsid w:val="005A4A92"/>
    <w:rsid w:val="005A7F7F"/>
    <w:rsid w:val="005B2137"/>
    <w:rsid w:val="005B5027"/>
    <w:rsid w:val="005C2CBE"/>
    <w:rsid w:val="005C6AC6"/>
    <w:rsid w:val="005D290B"/>
    <w:rsid w:val="005D334D"/>
    <w:rsid w:val="005D593A"/>
    <w:rsid w:val="005D6020"/>
    <w:rsid w:val="005D7C13"/>
    <w:rsid w:val="005E0F04"/>
    <w:rsid w:val="005E6DEF"/>
    <w:rsid w:val="005E7ED1"/>
    <w:rsid w:val="005F104F"/>
    <w:rsid w:val="005F351F"/>
    <w:rsid w:val="005F672A"/>
    <w:rsid w:val="006042EB"/>
    <w:rsid w:val="00604A03"/>
    <w:rsid w:val="00617099"/>
    <w:rsid w:val="00620C85"/>
    <w:rsid w:val="006314CA"/>
    <w:rsid w:val="00635147"/>
    <w:rsid w:val="00635ACC"/>
    <w:rsid w:val="00640227"/>
    <w:rsid w:val="00640364"/>
    <w:rsid w:val="006448E3"/>
    <w:rsid w:val="006569D3"/>
    <w:rsid w:val="00656B95"/>
    <w:rsid w:val="00675AA8"/>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D26CD"/>
    <w:rsid w:val="006D2AF2"/>
    <w:rsid w:val="006D43AA"/>
    <w:rsid w:val="006D7D96"/>
    <w:rsid w:val="006E1145"/>
    <w:rsid w:val="006E1C23"/>
    <w:rsid w:val="006E7858"/>
    <w:rsid w:val="006F6044"/>
    <w:rsid w:val="006F66F4"/>
    <w:rsid w:val="00705AB3"/>
    <w:rsid w:val="00706676"/>
    <w:rsid w:val="00706A85"/>
    <w:rsid w:val="007072F3"/>
    <w:rsid w:val="00710E15"/>
    <w:rsid w:val="00712094"/>
    <w:rsid w:val="00715820"/>
    <w:rsid w:val="00715B31"/>
    <w:rsid w:val="00724867"/>
    <w:rsid w:val="007263D3"/>
    <w:rsid w:val="00730EFC"/>
    <w:rsid w:val="007374C6"/>
    <w:rsid w:val="00740A08"/>
    <w:rsid w:val="00742E01"/>
    <w:rsid w:val="00746B6F"/>
    <w:rsid w:val="00757176"/>
    <w:rsid w:val="00760B6B"/>
    <w:rsid w:val="00766F93"/>
    <w:rsid w:val="00777514"/>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37A8"/>
    <w:rsid w:val="007C50FF"/>
    <w:rsid w:val="007D240C"/>
    <w:rsid w:val="007D3DB4"/>
    <w:rsid w:val="007E1B4E"/>
    <w:rsid w:val="007E26D1"/>
    <w:rsid w:val="007F3903"/>
    <w:rsid w:val="00802F19"/>
    <w:rsid w:val="00803974"/>
    <w:rsid w:val="008075DE"/>
    <w:rsid w:val="008076F2"/>
    <w:rsid w:val="008177C1"/>
    <w:rsid w:val="00824808"/>
    <w:rsid w:val="00825873"/>
    <w:rsid w:val="00847A48"/>
    <w:rsid w:val="0085106C"/>
    <w:rsid w:val="00853F78"/>
    <w:rsid w:val="00854933"/>
    <w:rsid w:val="008633E4"/>
    <w:rsid w:val="00870677"/>
    <w:rsid w:val="00875DB2"/>
    <w:rsid w:val="00877474"/>
    <w:rsid w:val="00891F46"/>
    <w:rsid w:val="00892246"/>
    <w:rsid w:val="00892C1B"/>
    <w:rsid w:val="00896E07"/>
    <w:rsid w:val="0089770A"/>
    <w:rsid w:val="008B2153"/>
    <w:rsid w:val="008B5BBE"/>
    <w:rsid w:val="008B5DDB"/>
    <w:rsid w:val="008E301D"/>
    <w:rsid w:val="008E514E"/>
    <w:rsid w:val="008F5D84"/>
    <w:rsid w:val="008F771C"/>
    <w:rsid w:val="00903951"/>
    <w:rsid w:val="00904988"/>
    <w:rsid w:val="00907167"/>
    <w:rsid w:val="00912C39"/>
    <w:rsid w:val="009162CF"/>
    <w:rsid w:val="0091714D"/>
    <w:rsid w:val="0092008A"/>
    <w:rsid w:val="00931AF3"/>
    <w:rsid w:val="00934AAD"/>
    <w:rsid w:val="009414B5"/>
    <w:rsid w:val="00941E41"/>
    <w:rsid w:val="009441F5"/>
    <w:rsid w:val="0094712B"/>
    <w:rsid w:val="00960199"/>
    <w:rsid w:val="0096164F"/>
    <w:rsid w:val="009752E2"/>
    <w:rsid w:val="00976629"/>
    <w:rsid w:val="00977816"/>
    <w:rsid w:val="00977F1D"/>
    <w:rsid w:val="00981E85"/>
    <w:rsid w:val="0099316A"/>
    <w:rsid w:val="00994658"/>
    <w:rsid w:val="009956A1"/>
    <w:rsid w:val="00997D2E"/>
    <w:rsid w:val="009B5738"/>
    <w:rsid w:val="009B5A69"/>
    <w:rsid w:val="009C0215"/>
    <w:rsid w:val="009C4E81"/>
    <w:rsid w:val="009C56F4"/>
    <w:rsid w:val="009C60B1"/>
    <w:rsid w:val="009D663A"/>
    <w:rsid w:val="009E1A74"/>
    <w:rsid w:val="009E30E3"/>
    <w:rsid w:val="009E5315"/>
    <w:rsid w:val="009E7BA4"/>
    <w:rsid w:val="009F0272"/>
    <w:rsid w:val="009F5992"/>
    <w:rsid w:val="009F659F"/>
    <w:rsid w:val="009F7481"/>
    <w:rsid w:val="009F793A"/>
    <w:rsid w:val="00A14692"/>
    <w:rsid w:val="00A1563E"/>
    <w:rsid w:val="00A15674"/>
    <w:rsid w:val="00A22161"/>
    <w:rsid w:val="00A23711"/>
    <w:rsid w:val="00A27F4E"/>
    <w:rsid w:val="00A30A51"/>
    <w:rsid w:val="00A334E3"/>
    <w:rsid w:val="00A34C09"/>
    <w:rsid w:val="00A42280"/>
    <w:rsid w:val="00A5129F"/>
    <w:rsid w:val="00A5263A"/>
    <w:rsid w:val="00A628C7"/>
    <w:rsid w:val="00A62A6D"/>
    <w:rsid w:val="00A62E8B"/>
    <w:rsid w:val="00A671B7"/>
    <w:rsid w:val="00A72117"/>
    <w:rsid w:val="00A75FAD"/>
    <w:rsid w:val="00A8115D"/>
    <w:rsid w:val="00A87786"/>
    <w:rsid w:val="00A90441"/>
    <w:rsid w:val="00A9700E"/>
    <w:rsid w:val="00AA6DE7"/>
    <w:rsid w:val="00AA78A7"/>
    <w:rsid w:val="00AC59B1"/>
    <w:rsid w:val="00AC70D7"/>
    <w:rsid w:val="00AE3DF6"/>
    <w:rsid w:val="00AE4829"/>
    <w:rsid w:val="00AF09A3"/>
    <w:rsid w:val="00AF25D2"/>
    <w:rsid w:val="00AF65F5"/>
    <w:rsid w:val="00B03C47"/>
    <w:rsid w:val="00B03DBC"/>
    <w:rsid w:val="00B12E0C"/>
    <w:rsid w:val="00B15D10"/>
    <w:rsid w:val="00B16CC6"/>
    <w:rsid w:val="00B21702"/>
    <w:rsid w:val="00B23620"/>
    <w:rsid w:val="00B314C9"/>
    <w:rsid w:val="00B32DF5"/>
    <w:rsid w:val="00B34023"/>
    <w:rsid w:val="00B34DF6"/>
    <w:rsid w:val="00B356B4"/>
    <w:rsid w:val="00B44E71"/>
    <w:rsid w:val="00B47707"/>
    <w:rsid w:val="00B521C8"/>
    <w:rsid w:val="00B53FF2"/>
    <w:rsid w:val="00B66D0D"/>
    <w:rsid w:val="00B70E8C"/>
    <w:rsid w:val="00B747A9"/>
    <w:rsid w:val="00B77ECA"/>
    <w:rsid w:val="00B93456"/>
    <w:rsid w:val="00B93AFE"/>
    <w:rsid w:val="00B95ED5"/>
    <w:rsid w:val="00B96D69"/>
    <w:rsid w:val="00B9790E"/>
    <w:rsid w:val="00BA15A6"/>
    <w:rsid w:val="00BA16DE"/>
    <w:rsid w:val="00BB0914"/>
    <w:rsid w:val="00BB73A3"/>
    <w:rsid w:val="00BC194D"/>
    <w:rsid w:val="00BC4539"/>
    <w:rsid w:val="00BC4BD2"/>
    <w:rsid w:val="00BC6DF6"/>
    <w:rsid w:val="00BC6F8F"/>
    <w:rsid w:val="00BD079F"/>
    <w:rsid w:val="00BE0B0D"/>
    <w:rsid w:val="00BE16FA"/>
    <w:rsid w:val="00BE1ACC"/>
    <w:rsid w:val="00BE39A5"/>
    <w:rsid w:val="00C0257C"/>
    <w:rsid w:val="00C13D8E"/>
    <w:rsid w:val="00C21627"/>
    <w:rsid w:val="00C2353D"/>
    <w:rsid w:val="00C237B3"/>
    <w:rsid w:val="00C276DF"/>
    <w:rsid w:val="00C31C91"/>
    <w:rsid w:val="00C3205C"/>
    <w:rsid w:val="00C331E4"/>
    <w:rsid w:val="00C53292"/>
    <w:rsid w:val="00C542F1"/>
    <w:rsid w:val="00C60B36"/>
    <w:rsid w:val="00C62FBD"/>
    <w:rsid w:val="00C643ED"/>
    <w:rsid w:val="00C66714"/>
    <w:rsid w:val="00C67545"/>
    <w:rsid w:val="00C71382"/>
    <w:rsid w:val="00C73218"/>
    <w:rsid w:val="00C74EFC"/>
    <w:rsid w:val="00C76255"/>
    <w:rsid w:val="00C82699"/>
    <w:rsid w:val="00C84A3E"/>
    <w:rsid w:val="00C87C48"/>
    <w:rsid w:val="00C92341"/>
    <w:rsid w:val="00C9271F"/>
    <w:rsid w:val="00C94290"/>
    <w:rsid w:val="00C965C7"/>
    <w:rsid w:val="00CA10E3"/>
    <w:rsid w:val="00CA4C2F"/>
    <w:rsid w:val="00CA4E34"/>
    <w:rsid w:val="00CA73AB"/>
    <w:rsid w:val="00CA7E6E"/>
    <w:rsid w:val="00CB1630"/>
    <w:rsid w:val="00CB2384"/>
    <w:rsid w:val="00CB6F0B"/>
    <w:rsid w:val="00CB708B"/>
    <w:rsid w:val="00CB7641"/>
    <w:rsid w:val="00CC1544"/>
    <w:rsid w:val="00CC253A"/>
    <w:rsid w:val="00CC25BB"/>
    <w:rsid w:val="00CD50A9"/>
    <w:rsid w:val="00CD73D2"/>
    <w:rsid w:val="00CD73DF"/>
    <w:rsid w:val="00CE1DEB"/>
    <w:rsid w:val="00CE5C09"/>
    <w:rsid w:val="00CE5DF6"/>
    <w:rsid w:val="00CF1DE8"/>
    <w:rsid w:val="00D0024B"/>
    <w:rsid w:val="00D00D67"/>
    <w:rsid w:val="00D033F5"/>
    <w:rsid w:val="00D04567"/>
    <w:rsid w:val="00D0612F"/>
    <w:rsid w:val="00D06E02"/>
    <w:rsid w:val="00D13998"/>
    <w:rsid w:val="00D1439D"/>
    <w:rsid w:val="00D16DF0"/>
    <w:rsid w:val="00D20661"/>
    <w:rsid w:val="00D30995"/>
    <w:rsid w:val="00D44F42"/>
    <w:rsid w:val="00D479C0"/>
    <w:rsid w:val="00D52206"/>
    <w:rsid w:val="00D54A62"/>
    <w:rsid w:val="00D54D2F"/>
    <w:rsid w:val="00D568A8"/>
    <w:rsid w:val="00D70333"/>
    <w:rsid w:val="00D70354"/>
    <w:rsid w:val="00D711C3"/>
    <w:rsid w:val="00D7190D"/>
    <w:rsid w:val="00D73A5F"/>
    <w:rsid w:val="00D76AA4"/>
    <w:rsid w:val="00D8396E"/>
    <w:rsid w:val="00D8465B"/>
    <w:rsid w:val="00D852E7"/>
    <w:rsid w:val="00D95075"/>
    <w:rsid w:val="00D977A0"/>
    <w:rsid w:val="00DA0303"/>
    <w:rsid w:val="00DA3E06"/>
    <w:rsid w:val="00DB52E6"/>
    <w:rsid w:val="00DC6236"/>
    <w:rsid w:val="00DC7E22"/>
    <w:rsid w:val="00DD016F"/>
    <w:rsid w:val="00DD50F0"/>
    <w:rsid w:val="00DE0A3F"/>
    <w:rsid w:val="00DE0F82"/>
    <w:rsid w:val="00DE2C75"/>
    <w:rsid w:val="00DE3366"/>
    <w:rsid w:val="00DE4DF0"/>
    <w:rsid w:val="00DF20CF"/>
    <w:rsid w:val="00E01A29"/>
    <w:rsid w:val="00E03E3D"/>
    <w:rsid w:val="00E10586"/>
    <w:rsid w:val="00E12A57"/>
    <w:rsid w:val="00E1606A"/>
    <w:rsid w:val="00E25E05"/>
    <w:rsid w:val="00E36A55"/>
    <w:rsid w:val="00E42598"/>
    <w:rsid w:val="00E46982"/>
    <w:rsid w:val="00E5070B"/>
    <w:rsid w:val="00E50784"/>
    <w:rsid w:val="00E52E74"/>
    <w:rsid w:val="00E6585E"/>
    <w:rsid w:val="00E70371"/>
    <w:rsid w:val="00E80494"/>
    <w:rsid w:val="00E82766"/>
    <w:rsid w:val="00E97203"/>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38FF"/>
    <w:rsid w:val="00F343F0"/>
    <w:rsid w:val="00F46DF5"/>
    <w:rsid w:val="00F52F3E"/>
    <w:rsid w:val="00F53ABA"/>
    <w:rsid w:val="00F60E4B"/>
    <w:rsid w:val="00F625ED"/>
    <w:rsid w:val="00F659F7"/>
    <w:rsid w:val="00F81267"/>
    <w:rsid w:val="00F85479"/>
    <w:rsid w:val="00FA365A"/>
    <w:rsid w:val="00FB1B26"/>
    <w:rsid w:val="00FB42DB"/>
    <w:rsid w:val="00FB5662"/>
    <w:rsid w:val="00FC2FCB"/>
    <w:rsid w:val="00FC39BF"/>
    <w:rsid w:val="00FC6BCB"/>
    <w:rsid w:val="00FD7477"/>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4F4352FF"/>
  <w15:chartTrackingRefBased/>
  <w15:docId w15:val="{E112E5F7-88EB-4FBC-872E-5F226615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9C56F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20956370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55571-6EE7-4E6D-9DC8-67B64F9C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3013C-C795-487B-BFF0-B6C411CECDA5}">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3.xml><?xml version="1.0" encoding="utf-8"?>
<ds:datastoreItem xmlns:ds="http://schemas.openxmlformats.org/officeDocument/2006/customXml" ds:itemID="{F77024E8-CCFD-4093-AD61-D6CDAEE7F5D4}">
  <ds:schemaRefs>
    <ds:schemaRef ds:uri="http://schemas.microsoft.com/sharepoint/v3/contenttype/forms"/>
  </ds:schemaRefs>
</ds:datastoreItem>
</file>

<file path=customXml/itemProps4.xml><?xml version="1.0" encoding="utf-8"?>
<ds:datastoreItem xmlns:ds="http://schemas.openxmlformats.org/officeDocument/2006/customXml" ds:itemID="{DDBDF750-B933-488B-9ED0-343DB8E1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1774</Words>
  <Characters>10113</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11864</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2017-03-03T16:12:00Z</cp:lastPrinted>
  <dcterms:created xsi:type="dcterms:W3CDTF">2026-04-02T16:54:00Z</dcterms:created>
  <dcterms:modified xsi:type="dcterms:W3CDTF">2026-04-02T16:55:00Z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[{"pageNumber":0,"geomIndex":48,"lastGeomIndex":67,"textElement":"I.\tPolicy Statement","headingStructure":"h1","identifiers":{"PARAGRAPH_ID":"2"},"issueTypeId":"HeadingStructureNotOneIssue:DOCX","dismiss":false,"pageNumbers":[-1],"coordinatesList":[null]},{"pageNumber":0,"geomIndex":48,"textElement":"I.\tPolicy Statement","lastGeomIndex":66,"listFormat":"upper-roman","identifiers":{"PARAGRAPH_ID":"2"},"issueTypeId":"FormattedListIssue:DOCX","dismiss":false,"pageNumbers":[1],"coordinatesList":[[57.24399948120117,182.5999755859375,361.7360420227051,100.79995155334473]]},{"pageNumber":0,"geomIndex":251,"textElement":"II.\tPurpose of Policy","lastGeomIndex":270,"listFormat":"upper-roman","identifiers":{"PARAGRAPH_ID":"4"},"issueTypeId":"FormattedListIssue:DOCX","dismiss":false,"pageNumbers":[1],"coordinatesList":[[54.099998474121094,262.20001220703125,121.77605438232422,7.320000171661377]]},{"pageNumber":0,"geomIndex":398,"textElement":"III.\tApplicability","lastGeomIndex":416,"listFormat":"upper-roman","identifiers":{"PARAGRAPH_ID":"6"},"issueTypeId":"FormattedListIssue:DOCX","dismiss":false,"pageNumbers":[1],"coordinatesList":[[54.099998474121094,327.1499938964844,98.01599884033203,7.320000171661377]]},{"pageNumber":0,"geomIndex":652,"textElement":"IV.\tDefinitions","lastGeomIndex":667,"listFormat":"upper-roman","identifiers":{"PARAGRAPH_ID":"8"},"issueTypeId":"FormattedListIssue:DOCX","dismiss":false,"pageNumbers":[1],"coordinatesList":[[54.099998474121094,406.75,90.27600860595703,7.320000171661377]]},{"pageNumber":0,"geomIndex":1842,"textElement":"V.\tPolicy Procedure","lastGeomIndex":1860,"listFormat":"upper-roman","identifiers":{"PARAGRAPH_ID":"20"},"issueTypeId":"FormattedListIssue:DOCX","dismiss":false,"pageNumbers":[2],"coordinatesList":[[54.099998474121094,49.1500244140625,119.37601470947266,7.320000171661377]]},{"pageNumber":0,"geomIndex":8694,"textElement":"VI.\tEnforcement","lastGeomIndex":8709,"listFormat":"upper-roman","identifiers":{"PARAGRAPH_ID":"88"},"issueTypeId":"FormattedListIssue:DOCX","dismiss":false,"pageNumbers":[4],"coordinatesList":[[54.099998474121094,686.4500122070312,100.18799591064453,7.320000171661377]]},{"pageNumber":0,"geomIndex":8782,"textElement":"VII.\tPolicy Management","lastGeomIndex":8803,"listFormat":"upper-roman","identifiers":{"PARAGRAPH_ID":"90"},"issueTypeId":"FormattedListIssue:DOCX","dismiss":false,"pageNumbers":[5],"coordinatesList":[[54.099998474121094,49.1500244140625,134.90401458740234,7.320000171661377]]},{"pageNumber":0,"geomIndex":9041,"textElement":"VIII.\tExclusions","lastGeomIndex":9057,"listFormat":"upper-roman","identifiers":{"PARAGRAPH_ID":"92"},"issueTypeId":"FormattedListIssue:DOCX","dismiss":false,"pageNumbers":[5],"coordinatesList":[[54.099998474121094,130.75,87.12000274658203,7.320000171661377]]},{"pageNumber":0,"geomIndex":9168,"textElement":"IX.\tEffective Date","lastGeomIndex":9185,"listFormat":"upper-roman","identifiers":{"PARAGRAPH_ID":"94"},"issueTypeId":"FormattedListIssue:DOCX","dismiss":false,"pageNumbers":[5],"coordinatesList":[[54.099998474121094,197.70001220703125,105.18000030517578,7.320000171661377]]},{"pageNumber":0,"geomIndex":9321,"textElement":"X. \tAdoption","lastGeomIndex":9332,"listFormat":"upper-roman","identifiers":{"PARAGRAPH_ID":"96"},"issueTypeId":"FormattedListIssue:DOCX","dismiss":false,"pageNumbers":[5],"coordinatesList":[[54.099998474121094,264.6500244140625,82.4520034790039,7.320000171661377]]},{"pageNumber":0,"geomIndex":9471,"textElement":"XI.\tAppendices, References and Related Materials","lastGeomIndex":9514,"listFormat":"upper-roman","identifiers":{"PARAGRAPH_ID":"101"},"issueTypeId":"FormattedListIssue:DOCX","dismiss":false,"pageNumbers":[5],"coordinatesList":[[54.099998474121094,384.8999938964844,267.3360366821289,7.320000171661377]]},{"pageNumber":0,"geomIndex":9559,"textElement":"XII.\tRevision History","lastGeomIndex":9579,"listFormat":"upper-roman","identifiers":{"PARAGRAPH_ID":"104"},"issueTypeId":"FormattedListIssue:DOCX","dismiss":false,"pageNumbers":[5],"coordinatesList":[[54.099998474121094,455.8500061035156,116.47200775146484,7.320000171661377]]}]</vt:lpwstr>
  </property>
</Properties>
</file>