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9F13" w14:textId="77777777" w:rsidR="00404FC7" w:rsidRDefault="004F5050">
      <w:pPr>
        <w:pStyle w:val="Heading1"/>
        <w:spacing w:before="79" w:line="240" w:lineRule="auto"/>
        <w:ind w:left="2872" w:right="2873"/>
        <w:jc w:val="center"/>
      </w:pPr>
      <w:r>
        <w:t>TRAVEL ABROAD POLICY</w:t>
      </w:r>
    </w:p>
    <w:p w14:paraId="43479F14" w14:textId="77777777" w:rsidR="00404FC7" w:rsidRDefault="00404FC7">
      <w:pPr>
        <w:pStyle w:val="BodyText"/>
        <w:rPr>
          <w:b/>
          <w:sz w:val="26"/>
        </w:rPr>
      </w:pPr>
    </w:p>
    <w:p w14:paraId="43479F15" w14:textId="77777777" w:rsidR="00404FC7" w:rsidRDefault="00404FC7">
      <w:pPr>
        <w:pStyle w:val="BodyText"/>
        <w:rPr>
          <w:b/>
          <w:sz w:val="22"/>
        </w:rPr>
      </w:pPr>
    </w:p>
    <w:p w14:paraId="43479F16" w14:textId="77777777" w:rsidR="00404FC7" w:rsidRDefault="004F5050">
      <w:pPr>
        <w:spacing w:line="276" w:lineRule="exact"/>
        <w:ind w:left="120"/>
        <w:rPr>
          <w:b/>
          <w:sz w:val="24"/>
        </w:rPr>
      </w:pPr>
      <w:r>
        <w:rPr>
          <w:b/>
          <w:sz w:val="24"/>
        </w:rPr>
        <w:t>Introduction:</w:t>
      </w:r>
    </w:p>
    <w:p w14:paraId="43479F17" w14:textId="77777777" w:rsidR="00404FC7" w:rsidRDefault="004F5050">
      <w:pPr>
        <w:pStyle w:val="BodyText"/>
        <w:ind w:left="120" w:right="117"/>
        <w:jc w:val="both"/>
      </w:pPr>
      <w:r>
        <w:t>The Travel Abroad Policy is designed to aid and assist faculty and staff in the most appropriate way to secure safe travel abroad with students and other clients. This policy is to be adhered to by each college with a study abroad program within the 48 contiguous states,</w:t>
      </w:r>
      <w:r>
        <w:rPr>
          <w:spacing w:val="8"/>
        </w:rPr>
        <w:t xml:space="preserve"> </w:t>
      </w:r>
      <w:r>
        <w:t>to</w:t>
      </w:r>
      <w:r>
        <w:rPr>
          <w:spacing w:val="9"/>
        </w:rPr>
        <w:t xml:space="preserve"> </w:t>
      </w:r>
      <w:r>
        <w:t>include</w:t>
      </w:r>
      <w:r>
        <w:rPr>
          <w:spacing w:val="8"/>
        </w:rPr>
        <w:t xml:space="preserve"> </w:t>
      </w:r>
      <w:r>
        <w:t>Alaska,</w:t>
      </w:r>
      <w:r>
        <w:rPr>
          <w:spacing w:val="9"/>
        </w:rPr>
        <w:t xml:space="preserve"> </w:t>
      </w:r>
      <w:r>
        <w:t>Hawaii</w:t>
      </w:r>
      <w:r>
        <w:rPr>
          <w:spacing w:val="9"/>
        </w:rPr>
        <w:t xml:space="preserve"> </w:t>
      </w:r>
      <w:r>
        <w:t>and</w:t>
      </w:r>
      <w:r>
        <w:rPr>
          <w:spacing w:val="8"/>
        </w:rPr>
        <w:t xml:space="preserve"> </w:t>
      </w:r>
      <w:r>
        <w:t>the</w:t>
      </w:r>
      <w:r>
        <w:rPr>
          <w:spacing w:val="9"/>
        </w:rPr>
        <w:t xml:space="preserve"> </w:t>
      </w:r>
      <w:r>
        <w:t>U.</w:t>
      </w:r>
      <w:r>
        <w:rPr>
          <w:spacing w:val="9"/>
        </w:rPr>
        <w:t xml:space="preserve"> </w:t>
      </w:r>
      <w:r>
        <w:t>S.</w:t>
      </w:r>
      <w:r>
        <w:rPr>
          <w:spacing w:val="10"/>
        </w:rPr>
        <w:t xml:space="preserve"> </w:t>
      </w:r>
      <w:r>
        <w:t>Territories</w:t>
      </w:r>
      <w:r>
        <w:rPr>
          <w:spacing w:val="9"/>
        </w:rPr>
        <w:t xml:space="preserve"> </w:t>
      </w:r>
      <w:r>
        <w:t>as</w:t>
      </w:r>
      <w:r>
        <w:rPr>
          <w:spacing w:val="9"/>
        </w:rPr>
        <w:t xml:space="preserve"> </w:t>
      </w:r>
      <w:r>
        <w:t>officially</w:t>
      </w:r>
      <w:r>
        <w:rPr>
          <w:spacing w:val="8"/>
        </w:rPr>
        <w:t xml:space="preserve"> </w:t>
      </w:r>
      <w:r>
        <w:t>recognized</w:t>
      </w:r>
      <w:r>
        <w:rPr>
          <w:spacing w:val="9"/>
        </w:rPr>
        <w:t xml:space="preserve"> </w:t>
      </w:r>
      <w:r>
        <w:t>by</w:t>
      </w:r>
      <w:r>
        <w:rPr>
          <w:spacing w:val="9"/>
        </w:rPr>
        <w:t xml:space="preserve"> </w:t>
      </w:r>
      <w:r>
        <w:t>the</w:t>
      </w:r>
    </w:p>
    <w:p w14:paraId="43479F18" w14:textId="77777777" w:rsidR="00404FC7" w:rsidRDefault="004F5050">
      <w:pPr>
        <w:pStyle w:val="BodyText"/>
        <w:spacing w:line="274" w:lineRule="exact"/>
        <w:ind w:left="119"/>
        <w:jc w:val="both"/>
      </w:pPr>
      <w:r>
        <w:t>U. S. Department of State.</w:t>
      </w:r>
    </w:p>
    <w:p w14:paraId="43479F19" w14:textId="77777777" w:rsidR="00404FC7" w:rsidRDefault="00404FC7">
      <w:pPr>
        <w:pStyle w:val="BodyText"/>
        <w:spacing w:before="2"/>
      </w:pPr>
    </w:p>
    <w:p w14:paraId="43479F1A" w14:textId="77777777" w:rsidR="00404FC7" w:rsidRDefault="004F5050">
      <w:pPr>
        <w:pStyle w:val="Heading1"/>
        <w:spacing w:line="275" w:lineRule="exact"/>
      </w:pPr>
      <w:r>
        <w:t>Responsibility of the Deans:</w:t>
      </w:r>
    </w:p>
    <w:p w14:paraId="43479F1B" w14:textId="77777777" w:rsidR="00404FC7" w:rsidRDefault="004F5050">
      <w:pPr>
        <w:pStyle w:val="BodyText"/>
        <w:ind w:left="119" w:right="117"/>
        <w:jc w:val="both"/>
      </w:pPr>
      <w:r>
        <w:t>Each College Dean/Vice President is responsible for communicating this policy to faculty and staff who administer, travel and/or teach in the study abroad program.</w:t>
      </w:r>
    </w:p>
    <w:p w14:paraId="43479F1C" w14:textId="77777777" w:rsidR="00404FC7" w:rsidRDefault="00404FC7">
      <w:pPr>
        <w:pStyle w:val="BodyText"/>
        <w:spacing w:before="1"/>
      </w:pPr>
    </w:p>
    <w:p w14:paraId="43479F1D" w14:textId="77777777" w:rsidR="00404FC7" w:rsidRDefault="004F5050">
      <w:pPr>
        <w:pStyle w:val="Heading1"/>
      </w:pPr>
      <w:r>
        <w:t>Responsibility of the Faculty/Staff Member:</w:t>
      </w:r>
    </w:p>
    <w:p w14:paraId="43479F1E" w14:textId="77777777" w:rsidR="00404FC7" w:rsidRDefault="004F5050">
      <w:pPr>
        <w:pStyle w:val="BodyText"/>
        <w:ind w:left="119" w:right="223"/>
      </w:pPr>
      <w:r>
        <w:t xml:space="preserve">Faculty and staff administering study abroad programs must initiate the appropriate travel documents found on the web at </w:t>
      </w:r>
      <w:hyperlink r:id="rId5">
        <w:r>
          <w:rPr>
            <w:u w:val="single"/>
          </w:rPr>
          <w:t>www.ulm.edu/forms</w:t>
        </w:r>
      </w:hyperlink>
      <w:r>
        <w:t>. Each document must be completed by students and copies filed in the following offices:</w:t>
      </w:r>
    </w:p>
    <w:p w14:paraId="68B6AE2E" w14:textId="77777777" w:rsidR="002D087F" w:rsidRDefault="002D087F">
      <w:pPr>
        <w:pStyle w:val="BodyText"/>
        <w:ind w:left="119" w:right="223"/>
      </w:pPr>
    </w:p>
    <w:p w14:paraId="43479F21" w14:textId="77777777" w:rsidR="00404FC7" w:rsidRDefault="004F5050">
      <w:pPr>
        <w:pStyle w:val="ListParagraph"/>
        <w:numPr>
          <w:ilvl w:val="0"/>
          <w:numId w:val="1"/>
        </w:numPr>
        <w:tabs>
          <w:tab w:val="left" w:pos="839"/>
          <w:tab w:val="left" w:pos="840"/>
        </w:tabs>
        <w:ind w:hanging="361"/>
        <w:rPr>
          <w:sz w:val="24"/>
        </w:rPr>
      </w:pPr>
      <w:r>
        <w:rPr>
          <w:sz w:val="24"/>
        </w:rPr>
        <w:t>College Dean</w:t>
      </w:r>
    </w:p>
    <w:p w14:paraId="2B95F2FE" w14:textId="77777777" w:rsidR="002E1EC0" w:rsidRDefault="004F5050" w:rsidP="002E1EC0">
      <w:pPr>
        <w:pStyle w:val="ListParagraph"/>
        <w:numPr>
          <w:ilvl w:val="0"/>
          <w:numId w:val="1"/>
        </w:numPr>
        <w:tabs>
          <w:tab w:val="left" w:pos="839"/>
          <w:tab w:val="left" w:pos="840"/>
        </w:tabs>
        <w:ind w:hanging="361"/>
        <w:rPr>
          <w:sz w:val="24"/>
        </w:rPr>
      </w:pPr>
      <w:r>
        <w:rPr>
          <w:sz w:val="24"/>
        </w:rPr>
        <w:t>Department</w:t>
      </w:r>
      <w:r>
        <w:rPr>
          <w:spacing w:val="-1"/>
          <w:sz w:val="24"/>
        </w:rPr>
        <w:t xml:space="preserve"> </w:t>
      </w:r>
      <w:r w:rsidR="00B37489">
        <w:rPr>
          <w:sz w:val="24"/>
        </w:rPr>
        <w:t>Head</w:t>
      </w:r>
    </w:p>
    <w:p w14:paraId="10DFF3F6" w14:textId="77777777" w:rsidR="0013065F" w:rsidRDefault="002E1EC0" w:rsidP="0013065F">
      <w:pPr>
        <w:pStyle w:val="ListParagraph"/>
        <w:numPr>
          <w:ilvl w:val="0"/>
          <w:numId w:val="1"/>
        </w:numPr>
        <w:tabs>
          <w:tab w:val="left" w:pos="839"/>
          <w:tab w:val="left" w:pos="840"/>
        </w:tabs>
        <w:ind w:hanging="361"/>
        <w:rPr>
          <w:sz w:val="24"/>
        </w:rPr>
      </w:pPr>
      <w:r>
        <w:rPr>
          <w:sz w:val="24"/>
        </w:rPr>
        <w:t>Vice President for Academic</w:t>
      </w:r>
      <w:r>
        <w:rPr>
          <w:spacing w:val="-1"/>
          <w:sz w:val="24"/>
        </w:rPr>
        <w:t xml:space="preserve"> </w:t>
      </w:r>
      <w:r>
        <w:rPr>
          <w:sz w:val="24"/>
        </w:rPr>
        <w:t>Affairs</w:t>
      </w:r>
    </w:p>
    <w:p w14:paraId="72F95FCE" w14:textId="38B4F320" w:rsidR="0013065F" w:rsidRDefault="0013065F" w:rsidP="0013065F">
      <w:pPr>
        <w:pStyle w:val="ListParagraph"/>
        <w:numPr>
          <w:ilvl w:val="0"/>
          <w:numId w:val="1"/>
        </w:numPr>
        <w:tabs>
          <w:tab w:val="left" w:pos="839"/>
          <w:tab w:val="left" w:pos="840"/>
        </w:tabs>
        <w:ind w:hanging="361"/>
        <w:rPr>
          <w:sz w:val="24"/>
        </w:rPr>
      </w:pPr>
      <w:r>
        <w:rPr>
          <w:sz w:val="24"/>
        </w:rPr>
        <w:t>Office of Enrollment Management and Student Life</w:t>
      </w:r>
    </w:p>
    <w:p w14:paraId="43479F24" w14:textId="77777777" w:rsidR="00404FC7" w:rsidRDefault="00404FC7">
      <w:pPr>
        <w:pStyle w:val="BodyText"/>
      </w:pPr>
    </w:p>
    <w:p w14:paraId="43479F25" w14:textId="77777777" w:rsidR="00404FC7" w:rsidRDefault="004F5050">
      <w:pPr>
        <w:pStyle w:val="Heading1"/>
        <w:jc w:val="both"/>
      </w:pPr>
      <w:r>
        <w:t>Statement of Student Responsibilities:</w:t>
      </w:r>
    </w:p>
    <w:p w14:paraId="43479F26" w14:textId="77777777" w:rsidR="00404FC7" w:rsidRDefault="004F5050">
      <w:pPr>
        <w:pStyle w:val="BodyText"/>
        <w:ind w:left="119" w:right="116"/>
        <w:jc w:val="both"/>
      </w:pPr>
      <w:r>
        <w:t>Students participating in study abroad program must adhere to all established policies and procedures set forth by the University of Louisiana at Monroe. In addition, students are reminded that the Code of Student Conduct also governs their behavior on and</w:t>
      </w:r>
      <w:r>
        <w:rPr>
          <w:spacing w:val="15"/>
        </w:rPr>
        <w:t xml:space="preserve"> </w:t>
      </w:r>
      <w:r>
        <w:t>off campus. It is the intent of this policy to provide the most appropriate mechanism to govern study/travel abroad in as safe a manner as</w:t>
      </w:r>
      <w:r>
        <w:rPr>
          <w:spacing w:val="-3"/>
        </w:rPr>
        <w:t xml:space="preserve"> </w:t>
      </w:r>
      <w:r>
        <w:t>possible.</w:t>
      </w:r>
    </w:p>
    <w:p w14:paraId="43479F27" w14:textId="77777777" w:rsidR="00404FC7" w:rsidRDefault="00404FC7">
      <w:pPr>
        <w:pStyle w:val="BodyText"/>
      </w:pPr>
    </w:p>
    <w:p w14:paraId="43479F28" w14:textId="77777777" w:rsidR="00404FC7" w:rsidRDefault="004F5050">
      <w:pPr>
        <w:pStyle w:val="Heading1"/>
        <w:jc w:val="both"/>
      </w:pPr>
      <w:r>
        <w:t>Traveling Abroad:</w:t>
      </w:r>
    </w:p>
    <w:p w14:paraId="70955E8B" w14:textId="77777777" w:rsidR="002279A8" w:rsidRDefault="004F5050" w:rsidP="002279A8">
      <w:pPr>
        <w:pStyle w:val="BodyText"/>
        <w:ind w:left="119" w:right="118"/>
        <w:jc w:val="both"/>
      </w:pPr>
      <w:r>
        <w:t>It is imperative that faculty register with the U. S. Embassy or Consulate (in the traveled country) to make the presence and whereabouts of faculty and students known in case the Consulate should need to make contact. If a disaster occurs within the traveled country, the Consulate can assist in evacuation, if necessary. However, the Consulate cannot assist in any way if they do not have a point of contact for visitors in their country. For additional international travel information on travel warnings, Consulate information, safety</w:t>
      </w:r>
      <w:r>
        <w:rPr>
          <w:spacing w:val="41"/>
        </w:rPr>
        <w:t xml:space="preserve"> </w:t>
      </w:r>
      <w:r>
        <w:t>and</w:t>
      </w:r>
      <w:r>
        <w:rPr>
          <w:spacing w:val="42"/>
        </w:rPr>
        <w:t xml:space="preserve"> </w:t>
      </w:r>
      <w:r>
        <w:t>health</w:t>
      </w:r>
      <w:r>
        <w:rPr>
          <w:spacing w:val="42"/>
        </w:rPr>
        <w:t xml:space="preserve"> </w:t>
      </w:r>
      <w:r>
        <w:t>issues,</w:t>
      </w:r>
      <w:r>
        <w:rPr>
          <w:spacing w:val="42"/>
        </w:rPr>
        <w:t xml:space="preserve"> </w:t>
      </w:r>
      <w:r>
        <w:t>emergencies</w:t>
      </w:r>
      <w:r>
        <w:rPr>
          <w:spacing w:val="42"/>
        </w:rPr>
        <w:t xml:space="preserve"> </w:t>
      </w:r>
      <w:r>
        <w:t>and</w:t>
      </w:r>
      <w:r>
        <w:rPr>
          <w:spacing w:val="42"/>
        </w:rPr>
        <w:t xml:space="preserve"> </w:t>
      </w:r>
      <w:r>
        <w:t>crises,</w:t>
      </w:r>
      <w:r>
        <w:rPr>
          <w:spacing w:val="43"/>
        </w:rPr>
        <w:t xml:space="preserve"> </w:t>
      </w:r>
      <w:r>
        <w:t>and</w:t>
      </w:r>
      <w:r>
        <w:rPr>
          <w:spacing w:val="43"/>
        </w:rPr>
        <w:t xml:space="preserve"> </w:t>
      </w:r>
      <w:r>
        <w:t>public</w:t>
      </w:r>
      <w:r>
        <w:rPr>
          <w:spacing w:val="43"/>
        </w:rPr>
        <w:t xml:space="preserve"> </w:t>
      </w:r>
      <w:r>
        <w:t>announcements,</w:t>
      </w:r>
      <w:r>
        <w:rPr>
          <w:spacing w:val="43"/>
        </w:rPr>
        <w:t xml:space="preserve"> </w:t>
      </w:r>
      <w:r>
        <w:t>visit</w:t>
      </w:r>
      <w:r w:rsidR="002279A8">
        <w:t xml:space="preserve"> </w:t>
      </w:r>
      <w:r>
        <w:t>the</w:t>
      </w:r>
    </w:p>
    <w:p w14:paraId="43479F2A" w14:textId="7FFB8E77" w:rsidR="00404FC7" w:rsidRDefault="004F5050" w:rsidP="002279A8">
      <w:pPr>
        <w:pStyle w:val="BodyText"/>
        <w:ind w:left="119" w:right="118"/>
        <w:jc w:val="both"/>
      </w:pPr>
      <w:r>
        <w:t xml:space="preserve">U.S. Department of State at </w:t>
      </w:r>
      <w:hyperlink r:id="rId6">
        <w:r>
          <w:rPr>
            <w:u w:val="single"/>
          </w:rPr>
          <w:t>www.travel.state.gov</w:t>
        </w:r>
      </w:hyperlink>
      <w:r>
        <w:t>.</w:t>
      </w:r>
    </w:p>
    <w:p w14:paraId="43479F2B" w14:textId="77777777" w:rsidR="00404FC7" w:rsidRDefault="00404FC7">
      <w:pPr>
        <w:pStyle w:val="BodyText"/>
        <w:spacing w:before="2"/>
      </w:pPr>
    </w:p>
    <w:p w14:paraId="43479F2C" w14:textId="77777777" w:rsidR="00404FC7" w:rsidRDefault="004F5050">
      <w:pPr>
        <w:pStyle w:val="Heading1"/>
        <w:spacing w:before="1"/>
        <w:jc w:val="both"/>
      </w:pPr>
      <w:r>
        <w:t>In Case of an Emergency:</w:t>
      </w:r>
    </w:p>
    <w:p w14:paraId="43479F2D" w14:textId="157B6944" w:rsidR="00404FC7" w:rsidRDefault="004F5050">
      <w:pPr>
        <w:pStyle w:val="BodyText"/>
        <w:ind w:left="119" w:right="117"/>
        <w:jc w:val="both"/>
      </w:pPr>
      <w:r>
        <w:t xml:space="preserve">The faculty/staff member should notify the Embassy or Consulate in the traveled country and the University Police Department, who will contact the </w:t>
      </w:r>
      <w:r w:rsidR="007F4C91">
        <w:t xml:space="preserve">Assistant </w:t>
      </w:r>
      <w:r>
        <w:t xml:space="preserve">Vice President for </w:t>
      </w:r>
      <w:r w:rsidR="007F4C91">
        <w:t>Enrollment Management and Student Life</w:t>
      </w:r>
      <w:r>
        <w:t xml:space="preserve">. The </w:t>
      </w:r>
      <w:r w:rsidR="00897277">
        <w:t xml:space="preserve">Assistant Vice President for Enrollment Management and Student Life </w:t>
      </w:r>
      <w:r>
        <w:t>will contact students</w:t>
      </w:r>
      <w:r w:rsidR="00897277">
        <w:t>’</w:t>
      </w:r>
      <w:r>
        <w:t xml:space="preserve"> families and provide information to them as it becomes</w:t>
      </w:r>
      <w:r>
        <w:rPr>
          <w:spacing w:val="-4"/>
        </w:rPr>
        <w:t xml:space="preserve"> </w:t>
      </w:r>
      <w:r>
        <w:t>available.</w:t>
      </w:r>
    </w:p>
    <w:sectPr w:rsidR="00404FC7" w:rsidSect="00D950C5">
      <w:type w:val="continuous"/>
      <w:pgSz w:w="12240" w:h="15840"/>
      <w:pgMar w:top="1152" w:right="1685" w:bottom="274" w:left="16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E1885"/>
    <w:multiLevelType w:val="hybridMultilevel"/>
    <w:tmpl w:val="D4461412"/>
    <w:lvl w:ilvl="0" w:tplc="450ADBC8">
      <w:numFmt w:val="bullet"/>
      <w:lvlText w:val=""/>
      <w:lvlJc w:val="left"/>
      <w:pPr>
        <w:ind w:left="1561" w:hanging="360"/>
      </w:pPr>
      <w:rPr>
        <w:rFonts w:ascii="Symbol" w:eastAsia="Symbol" w:hAnsi="Symbol" w:cs="Symbol" w:hint="default"/>
        <w:w w:val="100"/>
        <w:sz w:val="24"/>
        <w:szCs w:val="24"/>
        <w:lang w:val="en-US" w:eastAsia="en-US" w:bidi="en-US"/>
      </w:rPr>
    </w:lvl>
    <w:lvl w:ilvl="1" w:tplc="38F688FE">
      <w:numFmt w:val="bullet"/>
      <w:lvlText w:val="•"/>
      <w:lvlJc w:val="left"/>
      <w:pPr>
        <w:ind w:left="1562" w:hanging="360"/>
      </w:pPr>
      <w:rPr>
        <w:rFonts w:hint="default"/>
        <w:lang w:val="en-US" w:eastAsia="en-US" w:bidi="en-US"/>
      </w:rPr>
    </w:lvl>
    <w:lvl w:ilvl="2" w:tplc="21AAD1EA">
      <w:numFmt w:val="bullet"/>
      <w:lvlText w:val="•"/>
      <w:lvlJc w:val="left"/>
      <w:pPr>
        <w:ind w:left="2455" w:hanging="360"/>
      </w:pPr>
      <w:rPr>
        <w:rFonts w:hint="default"/>
        <w:lang w:val="en-US" w:eastAsia="en-US" w:bidi="en-US"/>
      </w:rPr>
    </w:lvl>
    <w:lvl w:ilvl="3" w:tplc="787CD0C2">
      <w:numFmt w:val="bullet"/>
      <w:lvlText w:val="•"/>
      <w:lvlJc w:val="left"/>
      <w:pPr>
        <w:ind w:left="3348" w:hanging="360"/>
      </w:pPr>
      <w:rPr>
        <w:rFonts w:hint="default"/>
        <w:lang w:val="en-US" w:eastAsia="en-US" w:bidi="en-US"/>
      </w:rPr>
    </w:lvl>
    <w:lvl w:ilvl="4" w:tplc="542C8182">
      <w:numFmt w:val="bullet"/>
      <w:lvlText w:val="•"/>
      <w:lvlJc w:val="left"/>
      <w:pPr>
        <w:ind w:left="4242" w:hanging="360"/>
      </w:pPr>
      <w:rPr>
        <w:rFonts w:hint="default"/>
        <w:lang w:val="en-US" w:eastAsia="en-US" w:bidi="en-US"/>
      </w:rPr>
    </w:lvl>
    <w:lvl w:ilvl="5" w:tplc="FBA6C112">
      <w:numFmt w:val="bullet"/>
      <w:lvlText w:val="•"/>
      <w:lvlJc w:val="left"/>
      <w:pPr>
        <w:ind w:left="5135" w:hanging="360"/>
      </w:pPr>
      <w:rPr>
        <w:rFonts w:hint="default"/>
        <w:lang w:val="en-US" w:eastAsia="en-US" w:bidi="en-US"/>
      </w:rPr>
    </w:lvl>
    <w:lvl w:ilvl="6" w:tplc="471E9BA4">
      <w:numFmt w:val="bullet"/>
      <w:lvlText w:val="•"/>
      <w:lvlJc w:val="left"/>
      <w:pPr>
        <w:ind w:left="6028" w:hanging="360"/>
      </w:pPr>
      <w:rPr>
        <w:rFonts w:hint="default"/>
        <w:lang w:val="en-US" w:eastAsia="en-US" w:bidi="en-US"/>
      </w:rPr>
    </w:lvl>
    <w:lvl w:ilvl="7" w:tplc="5F965F6C">
      <w:numFmt w:val="bullet"/>
      <w:lvlText w:val="•"/>
      <w:lvlJc w:val="left"/>
      <w:pPr>
        <w:ind w:left="6922" w:hanging="360"/>
      </w:pPr>
      <w:rPr>
        <w:rFonts w:hint="default"/>
        <w:lang w:val="en-US" w:eastAsia="en-US" w:bidi="en-US"/>
      </w:rPr>
    </w:lvl>
    <w:lvl w:ilvl="8" w:tplc="215E65B8">
      <w:numFmt w:val="bullet"/>
      <w:lvlText w:val="•"/>
      <w:lvlJc w:val="left"/>
      <w:pPr>
        <w:ind w:left="7815"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Djgw+LD6agQ9g5DcQmhOUNCcs/Ff78Q+Cqe/3ejVhj2hdiYYrunCfGGibycOFjp5MNg8BvOCUIM9YhCEfBwdw==" w:salt="DG+8a7g/F/lgHG8YnRsWM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C7"/>
    <w:rsid w:val="0013065F"/>
    <w:rsid w:val="00154151"/>
    <w:rsid w:val="001C3C0E"/>
    <w:rsid w:val="002279A8"/>
    <w:rsid w:val="002D087F"/>
    <w:rsid w:val="002E1EC0"/>
    <w:rsid w:val="00404FC7"/>
    <w:rsid w:val="004F5050"/>
    <w:rsid w:val="007F4C91"/>
    <w:rsid w:val="00897277"/>
    <w:rsid w:val="009B10A2"/>
    <w:rsid w:val="00B37489"/>
    <w:rsid w:val="00D950C5"/>
    <w:rsid w:val="00E43F65"/>
    <w:rsid w:val="00FB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9F13"/>
  <w15:docId w15:val="{3D3C84C4-CAFE-4BE2-98C8-809FD0EC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76" w:lineRule="exact"/>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vel.state.gov/" TargetMode="External"/><Relationship Id="rId5" Type="http://schemas.openxmlformats.org/officeDocument/2006/relationships/hyperlink" Target="http://www.ulm.edu/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392</Words>
  <Characters>2237</Characters>
  <Application>Microsoft Office Word</Application>
  <DocSecurity>8</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TRAVEL ABROAD POLICY.doc</dc:title>
  <dc:creator>Choosy</dc:creator>
  <cp:lastModifiedBy>Denise Duplechin</cp:lastModifiedBy>
  <cp:revision>15</cp:revision>
  <dcterms:created xsi:type="dcterms:W3CDTF">2026-04-13T20:58:00Z</dcterms:created>
  <dcterms:modified xsi:type="dcterms:W3CDTF">2026-04-20T19:48:00Z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2006-06-19T00:00:00Z</vt:filetime>
  </property>
  <property fmtid="{D5CDD505-2E9C-101B-9397-08002B2CF9AE}" pid="3" name="Creator">
    <vt:lpwstr>PScript5.dll Version 5.2</vt:lpwstr>
  </property>
  <property fmtid="{D5CDD505-2E9C-101B-9397-08002B2CF9AE}" pid="4" name="LastSaved">
    <vt:filetime>2026-04-13T00:00:00Z</vt:filetime>
  </property>
</Properties>
</file>